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F2DA8" w14:textId="08517F2A" w:rsidR="00F131AB" w:rsidRPr="00F131AB" w:rsidRDefault="00F131AB" w:rsidP="00F131AB">
      <w:pPr>
        <w:jc w:val="center"/>
        <w:rPr>
          <w:rFonts w:cs="Arial"/>
          <w:b/>
          <w:color w:val="000000" w:themeColor="text1"/>
          <w:sz w:val="36"/>
          <w:szCs w:val="36"/>
        </w:rPr>
      </w:pPr>
      <w:r w:rsidRPr="00F131AB">
        <w:rPr>
          <w:rFonts w:cs="Arial"/>
          <w:b/>
          <w:color w:val="000000" w:themeColor="text1"/>
          <w:sz w:val="36"/>
          <w:szCs w:val="36"/>
        </w:rPr>
        <w:t>Cabinet responses to Scrutiny Committee Recommendations</w:t>
      </w:r>
    </w:p>
    <w:p w14:paraId="19E7820A" w14:textId="77777777" w:rsidR="00F131AB" w:rsidRDefault="00F131AB" w:rsidP="00F80464">
      <w:pPr>
        <w:rPr>
          <w:rFonts w:cs="Arial"/>
          <w:b/>
          <w:color w:val="000000" w:themeColor="text1"/>
        </w:rPr>
      </w:pPr>
    </w:p>
    <w:p w14:paraId="5C8597E8" w14:textId="75CF463E" w:rsidR="00F80464" w:rsidRPr="00DE7377" w:rsidRDefault="00F80464" w:rsidP="00F80464">
      <w:pPr>
        <w:rPr>
          <w:rFonts w:cs="Arial"/>
          <w:b/>
          <w:color w:val="000000" w:themeColor="text1"/>
        </w:rPr>
      </w:pPr>
      <w:r w:rsidRPr="00DE7377">
        <w:rPr>
          <w:rFonts w:cs="Arial"/>
          <w:b/>
          <w:color w:val="000000" w:themeColor="text1"/>
        </w:rPr>
        <w:t xml:space="preserve">Cabinet response to recommendations of the Scrutiny Committee made on </w:t>
      </w:r>
      <w:r w:rsidR="00FB02A5">
        <w:rPr>
          <w:rFonts w:cs="Arial"/>
          <w:b/>
          <w:color w:val="000000" w:themeColor="text1"/>
        </w:rPr>
        <w:t>02/03/2021</w:t>
      </w:r>
      <w:r w:rsidRPr="00DE7377">
        <w:rPr>
          <w:rFonts w:cs="Arial"/>
          <w:b/>
          <w:color w:val="000000" w:themeColor="text1"/>
        </w:rPr>
        <w:t xml:space="preserve"> concerning </w:t>
      </w:r>
      <w:r w:rsidR="00D25CDB" w:rsidRPr="00DE7377">
        <w:rPr>
          <w:b/>
          <w:color w:val="000000" w:themeColor="text1"/>
        </w:rPr>
        <w:t xml:space="preserve">the </w:t>
      </w:r>
      <w:r w:rsidR="00FB02A5" w:rsidRPr="00DE7377">
        <w:rPr>
          <w:rFonts w:cs="Arial"/>
          <w:b/>
          <w:color w:val="000000" w:themeColor="text1"/>
          <w:shd w:val="clear" w:color="auto" w:fill="FFFFFF"/>
        </w:rPr>
        <w:t>Council Business Plan 2021-22 and Business Plan 2020-21 update</w:t>
      </w:r>
      <w:r w:rsidR="00FB02A5" w:rsidRPr="00DE7377">
        <w:rPr>
          <w:b/>
          <w:color w:val="000000" w:themeColor="text1"/>
        </w:rPr>
        <w:t xml:space="preserve"> </w:t>
      </w:r>
      <w:r w:rsidRPr="00DE7377">
        <w:rPr>
          <w:b/>
          <w:color w:val="000000" w:themeColor="text1"/>
        </w:rPr>
        <w:t>report</w:t>
      </w:r>
    </w:p>
    <w:p w14:paraId="0C21967F" w14:textId="77777777"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95203B" w:rsidRPr="00DE7377">
        <w:rPr>
          <w:b/>
          <w:color w:val="000000" w:themeColor="text1"/>
        </w:rPr>
        <w:t>Leader of the Council and Cabinet Member for Economic Development and Partnerships</w:t>
      </w:r>
      <w:r w:rsidR="00783544" w:rsidRPr="00DE7377">
        <w:rPr>
          <w:b/>
          <w:color w:val="000000" w:themeColor="text1"/>
        </w:rPr>
        <w:t xml:space="preserve">, </w:t>
      </w:r>
      <w:r w:rsidR="008F0BBE" w:rsidRPr="00DE7377">
        <w:rPr>
          <w:b/>
          <w:color w:val="000000" w:themeColor="text1"/>
        </w:rPr>
        <w:t>Susan Brown</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298CF47B" w:rsidR="00FB02A5" w:rsidRPr="00FB02A5" w:rsidRDefault="00FB02A5" w:rsidP="00FB02A5">
            <w:pPr>
              <w:pStyle w:val="ListParagraph"/>
              <w:numPr>
                <w:ilvl w:val="0"/>
                <w:numId w:val="10"/>
              </w:numPr>
              <w:tabs>
                <w:tab w:val="clear" w:pos="426"/>
              </w:tabs>
              <w:spacing w:after="160" w:line="252" w:lineRule="auto"/>
              <w:contextualSpacing/>
              <w:rPr>
                <w:rFonts w:cs="Arial"/>
                <w:b/>
                <w:color w:val="000000" w:themeColor="text1"/>
              </w:rPr>
            </w:pPr>
            <w:r w:rsidRPr="00FB02A5">
              <w:rPr>
                <w:b/>
                <w:i/>
              </w:rPr>
              <w:t>That the Council aligns the Business Plan with those recommendations from Climate Emergency Review Group that it supports (once approved by Cabinet).</w:t>
            </w:r>
          </w:p>
        </w:tc>
        <w:tc>
          <w:tcPr>
            <w:tcW w:w="1134" w:type="dxa"/>
            <w:shd w:val="clear" w:color="auto" w:fill="auto"/>
          </w:tcPr>
          <w:p w14:paraId="7BAB26F5" w14:textId="01E80D9D" w:rsidR="00F80464" w:rsidRPr="00DE7377" w:rsidRDefault="005C4780" w:rsidP="0026551D">
            <w:pPr>
              <w:spacing w:after="0"/>
              <w:rPr>
                <w:rFonts w:cs="Arial"/>
                <w:color w:val="000000" w:themeColor="text1"/>
              </w:rPr>
            </w:pPr>
            <w:r>
              <w:rPr>
                <w:rFonts w:cs="Arial"/>
                <w:color w:val="000000" w:themeColor="text1"/>
              </w:rPr>
              <w:t>Yes</w:t>
            </w:r>
          </w:p>
        </w:tc>
        <w:tc>
          <w:tcPr>
            <w:tcW w:w="6520" w:type="dxa"/>
            <w:shd w:val="clear" w:color="auto" w:fill="auto"/>
          </w:tcPr>
          <w:p w14:paraId="70027641" w14:textId="576F8330" w:rsidR="00F80464" w:rsidRPr="00DE7377" w:rsidRDefault="006C39C6" w:rsidP="00074A20">
            <w:pPr>
              <w:spacing w:after="0"/>
              <w:rPr>
                <w:rFonts w:cs="Arial"/>
                <w:color w:val="000000" w:themeColor="text1"/>
              </w:rPr>
            </w:pPr>
            <w:r>
              <w:rPr>
                <w:rFonts w:cs="Arial"/>
                <w:color w:val="000000" w:themeColor="text1"/>
              </w:rPr>
              <w:t>Agreed that will need a final review before publication around these issues.</w:t>
            </w:r>
          </w:p>
        </w:tc>
      </w:tr>
      <w:tr w:rsidR="00FB02A5" w:rsidRPr="00DE7377" w14:paraId="65184255" w14:textId="77777777" w:rsidTr="0026551D">
        <w:trPr>
          <w:trHeight w:val="1060"/>
        </w:trPr>
        <w:tc>
          <w:tcPr>
            <w:tcW w:w="6629" w:type="dxa"/>
            <w:shd w:val="clear" w:color="auto" w:fill="auto"/>
          </w:tcPr>
          <w:p w14:paraId="5F7767C9" w14:textId="1F8BEE70" w:rsidR="00FB02A5" w:rsidRPr="00FB02A5" w:rsidRDefault="00FB02A5" w:rsidP="00FB02A5">
            <w:pPr>
              <w:pStyle w:val="ListParagraph"/>
              <w:numPr>
                <w:ilvl w:val="0"/>
                <w:numId w:val="10"/>
              </w:numPr>
              <w:tabs>
                <w:tab w:val="clear" w:pos="426"/>
              </w:tabs>
              <w:spacing w:after="160" w:line="252" w:lineRule="auto"/>
              <w:contextualSpacing/>
              <w:rPr>
                <w:rFonts w:cs="Arial"/>
                <w:b/>
                <w:i/>
                <w:color w:val="000000" w:themeColor="text1"/>
              </w:rPr>
            </w:pPr>
            <w:r w:rsidRPr="00FB02A5">
              <w:rPr>
                <w:b/>
                <w:i/>
              </w:rPr>
              <w:t xml:space="preserve">That the Council includes a glossary of terms and acronyms used in the Business Plan, to include Social Value, OLW, </w:t>
            </w:r>
            <w:proofErr w:type="spellStart"/>
            <w:r w:rsidRPr="00FB02A5">
              <w:rPr>
                <w:b/>
                <w:i/>
              </w:rPr>
              <w:t>OxLEP</w:t>
            </w:r>
            <w:proofErr w:type="spellEnd"/>
            <w:r w:rsidRPr="00FB02A5">
              <w:rPr>
                <w:b/>
                <w:i/>
              </w:rPr>
              <w:t>, MEEES, Net Zero, ZEZ, Energy Super Hub, and Transport and Productivity Prospectus</w:t>
            </w:r>
          </w:p>
        </w:tc>
        <w:tc>
          <w:tcPr>
            <w:tcW w:w="1134" w:type="dxa"/>
            <w:shd w:val="clear" w:color="auto" w:fill="auto"/>
          </w:tcPr>
          <w:p w14:paraId="02D56AE8" w14:textId="3E5EE3B4" w:rsidR="00FB02A5" w:rsidRPr="00DE7377" w:rsidRDefault="005C4780" w:rsidP="0026551D">
            <w:pPr>
              <w:spacing w:after="0"/>
              <w:rPr>
                <w:rFonts w:cs="Arial"/>
                <w:color w:val="000000" w:themeColor="text1"/>
              </w:rPr>
            </w:pPr>
            <w:r>
              <w:rPr>
                <w:rFonts w:cs="Arial"/>
                <w:color w:val="000000" w:themeColor="text1"/>
              </w:rPr>
              <w:t>Yes</w:t>
            </w:r>
          </w:p>
        </w:tc>
        <w:tc>
          <w:tcPr>
            <w:tcW w:w="6520" w:type="dxa"/>
            <w:shd w:val="clear" w:color="auto" w:fill="auto"/>
          </w:tcPr>
          <w:p w14:paraId="5072F470" w14:textId="41DD45CD" w:rsidR="00FB02A5" w:rsidRPr="00DE7377" w:rsidRDefault="005C4780" w:rsidP="00074A20">
            <w:pPr>
              <w:spacing w:after="0"/>
              <w:rPr>
                <w:rFonts w:cs="Arial"/>
                <w:color w:val="000000" w:themeColor="text1"/>
              </w:rPr>
            </w:pPr>
            <w:r>
              <w:rPr>
                <w:rFonts w:cs="Arial"/>
                <w:color w:val="000000" w:themeColor="text1"/>
              </w:rPr>
              <w:t>Will add.</w:t>
            </w:r>
          </w:p>
        </w:tc>
      </w:tr>
      <w:tr w:rsidR="00FB02A5" w:rsidRPr="00DE7377" w14:paraId="33A63B35" w14:textId="77777777" w:rsidTr="0026551D">
        <w:trPr>
          <w:trHeight w:val="1060"/>
        </w:trPr>
        <w:tc>
          <w:tcPr>
            <w:tcW w:w="6629" w:type="dxa"/>
            <w:shd w:val="clear" w:color="auto" w:fill="auto"/>
          </w:tcPr>
          <w:p w14:paraId="2B3B4580" w14:textId="4DB2EDF2" w:rsidR="00FB02A5" w:rsidRPr="00FB02A5" w:rsidRDefault="00FB02A5" w:rsidP="00FB02A5">
            <w:pPr>
              <w:pStyle w:val="ListParagraph"/>
              <w:numPr>
                <w:ilvl w:val="0"/>
                <w:numId w:val="10"/>
              </w:numPr>
              <w:tabs>
                <w:tab w:val="clear" w:pos="426"/>
              </w:tabs>
              <w:spacing w:after="160" w:line="252" w:lineRule="auto"/>
              <w:contextualSpacing/>
              <w:rPr>
                <w:rFonts w:cs="Arial"/>
                <w:b/>
                <w:i/>
                <w:color w:val="000000" w:themeColor="text1"/>
              </w:rPr>
            </w:pPr>
            <w:r w:rsidRPr="00FB02A5">
              <w:rPr>
                <w:b/>
                <w:i/>
              </w:rPr>
              <w:t>That the Council reviews alignment of the actions relating to priority 4 on page 53 with the current Local Plan 2036 policies.</w:t>
            </w:r>
          </w:p>
        </w:tc>
        <w:tc>
          <w:tcPr>
            <w:tcW w:w="1134" w:type="dxa"/>
            <w:shd w:val="clear" w:color="auto" w:fill="auto"/>
          </w:tcPr>
          <w:p w14:paraId="1BE60782" w14:textId="77777777" w:rsidR="00FB02A5" w:rsidRPr="00DE7377" w:rsidRDefault="00FB02A5" w:rsidP="0026551D">
            <w:pPr>
              <w:spacing w:after="0"/>
              <w:rPr>
                <w:rFonts w:cs="Arial"/>
                <w:color w:val="000000" w:themeColor="text1"/>
              </w:rPr>
            </w:pPr>
          </w:p>
        </w:tc>
        <w:tc>
          <w:tcPr>
            <w:tcW w:w="6520" w:type="dxa"/>
            <w:shd w:val="clear" w:color="auto" w:fill="auto"/>
          </w:tcPr>
          <w:p w14:paraId="62BACF0E" w14:textId="01924B3A" w:rsidR="00FB02A5" w:rsidRPr="00DE7377" w:rsidRDefault="006C39C6" w:rsidP="00074A20">
            <w:pPr>
              <w:spacing w:after="0"/>
              <w:rPr>
                <w:rFonts w:cs="Arial"/>
                <w:color w:val="000000" w:themeColor="text1"/>
              </w:rPr>
            </w:pPr>
            <w:r>
              <w:rPr>
                <w:rFonts w:cs="Arial"/>
                <w:color w:val="000000" w:themeColor="text1"/>
              </w:rPr>
              <w:t xml:space="preserve">They are </w:t>
            </w:r>
            <w:r w:rsidR="005C4780">
              <w:rPr>
                <w:rFonts w:cs="Arial"/>
                <w:color w:val="000000" w:themeColor="text1"/>
              </w:rPr>
              <w:t xml:space="preserve">already </w:t>
            </w:r>
            <w:r>
              <w:rPr>
                <w:rFonts w:cs="Arial"/>
                <w:color w:val="000000" w:themeColor="text1"/>
              </w:rPr>
              <w:t>aligned.</w:t>
            </w:r>
          </w:p>
        </w:tc>
      </w:tr>
      <w:tr w:rsidR="00FB02A5" w:rsidRPr="00DE7377" w14:paraId="6ACA8CFB" w14:textId="77777777" w:rsidTr="0026551D">
        <w:trPr>
          <w:trHeight w:val="1060"/>
        </w:trPr>
        <w:tc>
          <w:tcPr>
            <w:tcW w:w="6629" w:type="dxa"/>
            <w:shd w:val="clear" w:color="auto" w:fill="auto"/>
          </w:tcPr>
          <w:p w14:paraId="0B3A220B" w14:textId="0D2F02D4" w:rsidR="00FB02A5" w:rsidRPr="00DE7377" w:rsidRDefault="00FB02A5" w:rsidP="00FB02A5">
            <w:pPr>
              <w:pStyle w:val="ListParagraph"/>
              <w:numPr>
                <w:ilvl w:val="0"/>
                <w:numId w:val="10"/>
              </w:numPr>
              <w:tabs>
                <w:tab w:val="clear" w:pos="426"/>
              </w:tabs>
              <w:spacing w:after="160" w:line="252" w:lineRule="auto"/>
              <w:contextualSpacing/>
              <w:rPr>
                <w:rFonts w:cs="Arial"/>
                <w:b/>
                <w:i/>
                <w:color w:val="000000" w:themeColor="text1"/>
              </w:rPr>
            </w:pPr>
            <w:r w:rsidRPr="005D7C5F">
              <w:rPr>
                <w:b/>
                <w:i/>
              </w:rPr>
              <w:t xml:space="preserve">That the Council includes reference to the circular economy as part of </w:t>
            </w:r>
            <w:r>
              <w:rPr>
                <w:b/>
                <w:i/>
              </w:rPr>
              <w:t xml:space="preserve">a </w:t>
            </w:r>
            <w:r w:rsidRPr="005D7C5F">
              <w:rPr>
                <w:b/>
                <w:i/>
              </w:rPr>
              <w:t>transformational agenda for waste and resource management</w:t>
            </w:r>
            <w:r>
              <w:rPr>
                <w:b/>
                <w:i/>
              </w:rPr>
              <w:t>.</w:t>
            </w:r>
          </w:p>
        </w:tc>
        <w:tc>
          <w:tcPr>
            <w:tcW w:w="1134" w:type="dxa"/>
            <w:shd w:val="clear" w:color="auto" w:fill="auto"/>
          </w:tcPr>
          <w:p w14:paraId="5038C5E7" w14:textId="60CBB2AC" w:rsidR="00FB02A5" w:rsidRPr="00DE7377" w:rsidRDefault="005C4780" w:rsidP="0026551D">
            <w:pPr>
              <w:spacing w:after="0"/>
              <w:rPr>
                <w:rFonts w:cs="Arial"/>
                <w:color w:val="000000" w:themeColor="text1"/>
              </w:rPr>
            </w:pPr>
            <w:r>
              <w:rPr>
                <w:rFonts w:cs="Arial"/>
                <w:color w:val="000000" w:themeColor="text1"/>
              </w:rPr>
              <w:t>Yes</w:t>
            </w:r>
          </w:p>
        </w:tc>
        <w:tc>
          <w:tcPr>
            <w:tcW w:w="6520" w:type="dxa"/>
            <w:shd w:val="clear" w:color="auto" w:fill="auto"/>
          </w:tcPr>
          <w:p w14:paraId="2D0D1AD1" w14:textId="3864910B" w:rsidR="00FB02A5" w:rsidRPr="00DE7377" w:rsidRDefault="005C4780" w:rsidP="005C4780">
            <w:pPr>
              <w:spacing w:after="0"/>
              <w:rPr>
                <w:rFonts w:cs="Arial"/>
                <w:color w:val="000000" w:themeColor="text1"/>
              </w:rPr>
            </w:pPr>
            <w:r>
              <w:rPr>
                <w:rFonts w:cs="Arial"/>
                <w:color w:val="000000" w:themeColor="text1"/>
              </w:rPr>
              <w:t>We will add</w:t>
            </w:r>
            <w:r w:rsidR="006C39C6">
              <w:rPr>
                <w:rFonts w:cs="Arial"/>
                <w:color w:val="000000" w:themeColor="text1"/>
              </w:rPr>
              <w:t xml:space="preserve"> a reference.</w:t>
            </w:r>
          </w:p>
        </w:tc>
      </w:tr>
    </w:tbl>
    <w:p w14:paraId="1FD42F50" w14:textId="77777777" w:rsidR="00F80464" w:rsidRPr="00DE7377" w:rsidRDefault="00F80464" w:rsidP="006A5C65">
      <w:pPr>
        <w:spacing w:after="0"/>
        <w:ind w:left="644" w:hanging="360"/>
        <w:rPr>
          <w:color w:val="000000" w:themeColor="text1"/>
        </w:rPr>
      </w:pPr>
    </w:p>
    <w:p w14:paraId="156EFC27" w14:textId="77777777" w:rsidR="00F131AB" w:rsidRDefault="00F131AB" w:rsidP="00F131AB">
      <w:pPr>
        <w:rPr>
          <w:rFonts w:cs="Arial"/>
          <w:b/>
        </w:rPr>
      </w:pPr>
    </w:p>
    <w:p w14:paraId="5DCC26C7" w14:textId="77777777" w:rsidR="00F131AB" w:rsidRDefault="00F131AB" w:rsidP="00F131AB">
      <w:pPr>
        <w:rPr>
          <w:rFonts w:cs="Arial"/>
          <w:b/>
        </w:rPr>
      </w:pPr>
    </w:p>
    <w:p w14:paraId="7BF88C7C" w14:textId="77777777" w:rsidR="00F131AB" w:rsidRDefault="00F131AB" w:rsidP="00F131AB">
      <w:pPr>
        <w:rPr>
          <w:rFonts w:cs="Arial"/>
          <w:b/>
        </w:rPr>
      </w:pPr>
    </w:p>
    <w:p w14:paraId="09327C58" w14:textId="77777777" w:rsidR="00F131AB" w:rsidRDefault="00F131AB" w:rsidP="00F131AB">
      <w:pPr>
        <w:rPr>
          <w:rFonts w:cs="Arial"/>
          <w:b/>
        </w:rPr>
      </w:pPr>
    </w:p>
    <w:p w14:paraId="635A1BDF" w14:textId="77777777" w:rsidR="00F131AB" w:rsidRDefault="00F131AB" w:rsidP="00F131AB">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12/01/2021</w:t>
      </w:r>
      <w:r w:rsidRPr="00D8335C">
        <w:rPr>
          <w:rFonts w:cs="Arial"/>
          <w:b/>
        </w:rPr>
        <w:t xml:space="preserve"> concerning </w:t>
      </w:r>
      <w:r>
        <w:rPr>
          <w:b/>
        </w:rPr>
        <w:t>the Scrutiny-Commissioned Citizen Engagement report</w:t>
      </w:r>
    </w:p>
    <w:p w14:paraId="12EC29E2" w14:textId="77777777" w:rsidR="00F131AB" w:rsidRPr="00CE2972" w:rsidRDefault="00F131AB" w:rsidP="00F131AB">
      <w:pPr>
        <w:rPr>
          <w:rFonts w:cs="Arial"/>
          <w:b/>
        </w:rPr>
      </w:pPr>
      <w:r>
        <w:rPr>
          <w:rFonts w:cs="Arial"/>
          <w:b/>
        </w:rPr>
        <w:t>Response</w:t>
      </w:r>
      <w:r w:rsidRPr="00783544">
        <w:rPr>
          <w:rFonts w:cs="Arial"/>
          <w:b/>
        </w:rPr>
        <w:t xml:space="preserve"> provided by </w:t>
      </w:r>
      <w:r>
        <w:rPr>
          <w:b/>
        </w:rPr>
        <w:t>Leader of the Council and Cabinet Member for Economic Development and Partnerships</w:t>
      </w:r>
      <w:r w:rsidRPr="00783544">
        <w:rPr>
          <w:b/>
        </w:rPr>
        <w:t xml:space="preserve">, </w:t>
      </w:r>
      <w:r>
        <w:rPr>
          <w:b/>
        </w:rPr>
        <w:t>Susan Brown</w:t>
      </w:r>
    </w:p>
    <w:p w14:paraId="090F7DD9" w14:textId="77777777" w:rsidR="00F131AB" w:rsidRPr="002E3AC8" w:rsidRDefault="00F131AB" w:rsidP="00F131AB">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131AB" w:rsidRPr="00AC577F" w14:paraId="3E1B4452" w14:textId="77777777" w:rsidTr="0029517D">
        <w:tc>
          <w:tcPr>
            <w:tcW w:w="6629" w:type="dxa"/>
            <w:shd w:val="clear" w:color="auto" w:fill="D9D9D9"/>
            <w:vAlign w:val="center"/>
          </w:tcPr>
          <w:p w14:paraId="325BB0E5" w14:textId="77777777" w:rsidR="00F131AB" w:rsidRPr="00AC577F" w:rsidRDefault="00F131AB" w:rsidP="0029517D">
            <w:pPr>
              <w:rPr>
                <w:rFonts w:cs="Arial"/>
                <w:b/>
                <w:i/>
              </w:rPr>
            </w:pPr>
            <w:r w:rsidRPr="00AC577F">
              <w:rPr>
                <w:rFonts w:cs="Arial"/>
                <w:b/>
                <w:i/>
              </w:rPr>
              <w:t>Recommendation</w:t>
            </w:r>
          </w:p>
        </w:tc>
        <w:tc>
          <w:tcPr>
            <w:tcW w:w="1134" w:type="dxa"/>
            <w:shd w:val="clear" w:color="auto" w:fill="D9D9D9"/>
            <w:vAlign w:val="center"/>
          </w:tcPr>
          <w:p w14:paraId="029E0A7A" w14:textId="77777777" w:rsidR="00F131AB" w:rsidRPr="00AC577F" w:rsidRDefault="00F131AB" w:rsidP="0029517D">
            <w:pPr>
              <w:rPr>
                <w:rFonts w:cs="Arial"/>
                <w:b/>
                <w:i/>
              </w:rPr>
            </w:pPr>
            <w:r w:rsidRPr="00AC577F">
              <w:rPr>
                <w:rFonts w:cs="Arial"/>
                <w:b/>
                <w:i/>
              </w:rPr>
              <w:t xml:space="preserve">Agree? </w:t>
            </w:r>
          </w:p>
        </w:tc>
        <w:tc>
          <w:tcPr>
            <w:tcW w:w="6520" w:type="dxa"/>
            <w:shd w:val="clear" w:color="auto" w:fill="D9D9D9"/>
            <w:vAlign w:val="center"/>
          </w:tcPr>
          <w:p w14:paraId="0404902A" w14:textId="77777777" w:rsidR="00F131AB" w:rsidRPr="00AC577F" w:rsidRDefault="00F131AB" w:rsidP="0029517D">
            <w:pPr>
              <w:rPr>
                <w:rFonts w:cs="Arial"/>
                <w:b/>
                <w:i/>
              </w:rPr>
            </w:pPr>
            <w:r w:rsidRPr="00AC577F">
              <w:rPr>
                <w:rFonts w:cs="Arial"/>
                <w:b/>
                <w:i/>
              </w:rPr>
              <w:t>Comment</w:t>
            </w:r>
          </w:p>
        </w:tc>
      </w:tr>
      <w:tr w:rsidR="00F131AB" w:rsidRPr="00AC577F" w14:paraId="0E54D566" w14:textId="77777777" w:rsidTr="0029517D">
        <w:trPr>
          <w:trHeight w:val="1060"/>
        </w:trPr>
        <w:tc>
          <w:tcPr>
            <w:tcW w:w="6629" w:type="dxa"/>
            <w:shd w:val="clear" w:color="auto" w:fill="auto"/>
          </w:tcPr>
          <w:p w14:paraId="3718DCF1"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t xml:space="preserve">That the Council investigates </w:t>
            </w:r>
            <w:r w:rsidRPr="00727D76">
              <w:rPr>
                <w:b/>
              </w:rPr>
              <w:t>opportunities for co-production with key stakeholders, particularly local residents.</w:t>
            </w:r>
          </w:p>
        </w:tc>
        <w:tc>
          <w:tcPr>
            <w:tcW w:w="1134" w:type="dxa"/>
            <w:shd w:val="clear" w:color="auto" w:fill="auto"/>
          </w:tcPr>
          <w:p w14:paraId="4FE0C7F7" w14:textId="77777777" w:rsidR="00F131AB" w:rsidRPr="00AC577F" w:rsidRDefault="00F131AB" w:rsidP="0029517D">
            <w:pPr>
              <w:spacing w:after="0"/>
              <w:rPr>
                <w:rFonts w:cs="Arial"/>
              </w:rPr>
            </w:pPr>
            <w:r>
              <w:rPr>
                <w:rFonts w:cs="Arial"/>
              </w:rPr>
              <w:t>Yes</w:t>
            </w:r>
          </w:p>
        </w:tc>
        <w:tc>
          <w:tcPr>
            <w:tcW w:w="6520" w:type="dxa"/>
            <w:shd w:val="clear" w:color="auto" w:fill="auto"/>
          </w:tcPr>
          <w:p w14:paraId="7D643454" w14:textId="77777777" w:rsidR="00F131AB" w:rsidRPr="00F131AB" w:rsidRDefault="00F131AB" w:rsidP="0029517D">
            <w:pPr>
              <w:spacing w:before="120" w:after="0"/>
              <w:rPr>
                <w:color w:val="auto"/>
              </w:rPr>
            </w:pPr>
            <w:r w:rsidRPr="00F131AB">
              <w:rPr>
                <w:rFonts w:cs="Arial"/>
                <w:color w:val="auto"/>
              </w:rPr>
              <w:t xml:space="preserve"> </w:t>
            </w:r>
            <w:r w:rsidRPr="00F131AB">
              <w:rPr>
                <w:color w:val="auto"/>
              </w:rPr>
              <w:t>The Business Plan 2021-22 already includes a number of actions to boost co-production including:</w:t>
            </w:r>
          </w:p>
          <w:p w14:paraId="08388669" w14:textId="77777777" w:rsidR="00F131AB" w:rsidRPr="00F131AB" w:rsidRDefault="00F131AB" w:rsidP="00F131AB">
            <w:pPr>
              <w:pStyle w:val="ListParagraph"/>
              <w:numPr>
                <w:ilvl w:val="0"/>
                <w:numId w:val="19"/>
              </w:numPr>
              <w:spacing w:before="120" w:after="0"/>
              <w:rPr>
                <w:rFonts w:eastAsiaTheme="minorHAnsi" w:cs="Arial"/>
                <w:color w:val="auto"/>
                <w:lang w:eastAsia="en-US"/>
              </w:rPr>
            </w:pPr>
            <w:r w:rsidRPr="00F131AB">
              <w:rPr>
                <w:rFonts w:eastAsiaTheme="minorHAnsi" w:cs="Arial"/>
                <w:color w:val="auto"/>
                <w:lang w:eastAsia="en-US"/>
              </w:rPr>
              <w:t>Launch a Thriving Community Strategy with the principles of community engagement, involvement and participation. This will take a place-based approach that maximises opportunities for greater collaboration with key stakeholders and community groups to deliver outcomes that matter to the Council and local people.</w:t>
            </w:r>
          </w:p>
          <w:p w14:paraId="7B89226A" w14:textId="77777777" w:rsidR="00F131AB" w:rsidRPr="00F131AB" w:rsidRDefault="00F131AB" w:rsidP="00F131AB">
            <w:pPr>
              <w:pStyle w:val="ListParagraph"/>
              <w:numPr>
                <w:ilvl w:val="0"/>
                <w:numId w:val="19"/>
              </w:numPr>
              <w:spacing w:before="120" w:after="0"/>
              <w:rPr>
                <w:rFonts w:eastAsiaTheme="minorHAnsi" w:cs="Arial"/>
                <w:color w:val="auto"/>
                <w:lang w:eastAsia="en-US"/>
              </w:rPr>
            </w:pPr>
            <w:r w:rsidRPr="00F131AB">
              <w:rPr>
                <w:rFonts w:cs="Arial"/>
                <w:color w:val="auto"/>
              </w:rPr>
              <w:t xml:space="preserve">Develop a more integrated frontline locality-based service delivery offer involving 6 locality hub teams that </w:t>
            </w:r>
            <w:r w:rsidRPr="00F131AB">
              <w:rPr>
                <w:rFonts w:eastAsiaTheme="minorHAnsi" w:cs="Arial"/>
                <w:color w:val="auto"/>
                <w:lang w:eastAsia="en-US"/>
              </w:rPr>
              <w:t>brings together housing, community services, tenancy management support, etc. to provide a framework for greater colocation with partners and an emphasis on community led co-productive social action – where residents are involved in decision making on matters that affect them directly</w:t>
            </w:r>
          </w:p>
          <w:p w14:paraId="56FA2628" w14:textId="77777777" w:rsidR="00F131AB" w:rsidRPr="00F131AB" w:rsidRDefault="00F131AB" w:rsidP="00F131AB">
            <w:pPr>
              <w:pStyle w:val="ListParagraph"/>
              <w:numPr>
                <w:ilvl w:val="0"/>
                <w:numId w:val="19"/>
              </w:numPr>
              <w:spacing w:before="120" w:after="0"/>
              <w:rPr>
                <w:rFonts w:eastAsiaTheme="minorHAnsi" w:cs="Arial"/>
                <w:color w:val="auto"/>
                <w:lang w:eastAsia="en-US"/>
              </w:rPr>
            </w:pPr>
            <w:r w:rsidRPr="00F131AB">
              <w:rPr>
                <w:rFonts w:eastAsiaTheme="minorHAnsi" w:cs="Arial"/>
                <w:color w:val="auto"/>
                <w:lang w:eastAsia="en-US"/>
              </w:rPr>
              <w:t>Develop the partnership with</w:t>
            </w:r>
            <w:r w:rsidRPr="00F131AB">
              <w:rPr>
                <w:b/>
                <w:color w:val="auto"/>
              </w:rPr>
              <w:t xml:space="preserve"> </w:t>
            </w:r>
            <w:r w:rsidRPr="00F131AB">
              <w:rPr>
                <w:rFonts w:eastAsiaTheme="minorHAnsi" w:cs="Arial"/>
                <w:color w:val="auto"/>
                <w:lang w:eastAsia="en-US"/>
              </w:rPr>
              <w:t>landlords and agents, taking a co-production approach to improve the quality and management of the Private Rented Sector (PRS).</w:t>
            </w:r>
          </w:p>
          <w:p w14:paraId="5596AADD" w14:textId="77777777" w:rsidR="00F131AB" w:rsidRPr="00F131AB" w:rsidRDefault="00F131AB" w:rsidP="00F131AB">
            <w:pPr>
              <w:pStyle w:val="ListParagraph"/>
              <w:numPr>
                <w:ilvl w:val="0"/>
                <w:numId w:val="19"/>
              </w:numPr>
              <w:spacing w:before="120" w:after="0"/>
              <w:rPr>
                <w:rFonts w:eastAsiaTheme="minorHAnsi" w:cs="Arial"/>
                <w:color w:val="auto"/>
                <w:lang w:eastAsia="en-US"/>
              </w:rPr>
            </w:pPr>
            <w:r w:rsidRPr="00F131AB">
              <w:rPr>
                <w:rFonts w:eastAsiaTheme="minorHAnsi" w:cs="Arial"/>
                <w:color w:val="auto"/>
                <w:lang w:eastAsia="en-US"/>
              </w:rPr>
              <w:t xml:space="preserve">Complete and implement the Zero Carbon Communities Strategy, with community engagement </w:t>
            </w:r>
            <w:r w:rsidRPr="00F131AB">
              <w:rPr>
                <w:rFonts w:eastAsiaTheme="minorHAnsi" w:cs="Arial"/>
                <w:color w:val="auto"/>
                <w:lang w:eastAsia="en-US"/>
              </w:rPr>
              <w:lastRenderedPageBreak/>
              <w:t>activity, using a co-production approach, to support residents and local groups taking action to achieve climate change targets; and raise wider public awareness of local action being taken.</w:t>
            </w:r>
          </w:p>
          <w:p w14:paraId="1025D46D" w14:textId="77777777" w:rsidR="00F131AB" w:rsidRPr="00F131AB" w:rsidRDefault="00F131AB" w:rsidP="00F131AB">
            <w:pPr>
              <w:pStyle w:val="ListParagraph"/>
              <w:numPr>
                <w:ilvl w:val="0"/>
                <w:numId w:val="19"/>
              </w:numPr>
              <w:spacing w:before="120" w:after="0"/>
              <w:rPr>
                <w:color w:val="auto"/>
              </w:rPr>
            </w:pPr>
            <w:r w:rsidRPr="00F131AB">
              <w:rPr>
                <w:color w:val="auto"/>
              </w:rPr>
              <w:t>Engage Council tenants to maximise their involvement in decisions on retrofitting that affect their homes.</w:t>
            </w:r>
          </w:p>
          <w:p w14:paraId="165321E8" w14:textId="77777777" w:rsidR="00F131AB" w:rsidRPr="00F131AB" w:rsidRDefault="00F131AB" w:rsidP="0029517D">
            <w:pPr>
              <w:spacing w:after="0"/>
              <w:rPr>
                <w:rFonts w:cs="Arial"/>
                <w:color w:val="auto"/>
              </w:rPr>
            </w:pPr>
          </w:p>
          <w:p w14:paraId="0E487FA0" w14:textId="77777777" w:rsidR="00F131AB" w:rsidRPr="00F131AB" w:rsidRDefault="00F131AB" w:rsidP="0029517D">
            <w:pPr>
              <w:pStyle w:val="ListParagraph"/>
              <w:numPr>
                <w:ilvl w:val="0"/>
                <w:numId w:val="0"/>
              </w:numPr>
              <w:spacing w:after="0"/>
              <w:ind w:left="720"/>
              <w:rPr>
                <w:rFonts w:cs="Arial"/>
                <w:color w:val="auto"/>
              </w:rPr>
            </w:pPr>
          </w:p>
        </w:tc>
      </w:tr>
      <w:tr w:rsidR="00F131AB" w:rsidRPr="00AC577F" w14:paraId="674EE596" w14:textId="77777777" w:rsidTr="0029517D">
        <w:trPr>
          <w:trHeight w:val="1060"/>
        </w:trPr>
        <w:tc>
          <w:tcPr>
            <w:tcW w:w="6629" w:type="dxa"/>
            <w:shd w:val="clear" w:color="auto" w:fill="auto"/>
          </w:tcPr>
          <w:p w14:paraId="678B6D57"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lastRenderedPageBreak/>
              <w:t xml:space="preserve">That the Council runs </w:t>
            </w:r>
            <w:r w:rsidRPr="00727D76">
              <w:rPr>
                <w:b/>
              </w:rPr>
              <w:t>a pilot project to establish and assess the practicalities of engaging citizens in participatory budgeting.</w:t>
            </w:r>
          </w:p>
        </w:tc>
        <w:tc>
          <w:tcPr>
            <w:tcW w:w="1134" w:type="dxa"/>
            <w:shd w:val="clear" w:color="auto" w:fill="auto"/>
          </w:tcPr>
          <w:p w14:paraId="6AEE80CA" w14:textId="77777777" w:rsidR="00F131AB" w:rsidRPr="00AC577F" w:rsidRDefault="00F131AB" w:rsidP="0029517D">
            <w:pPr>
              <w:spacing w:after="0"/>
              <w:rPr>
                <w:rFonts w:cs="Arial"/>
              </w:rPr>
            </w:pPr>
            <w:r>
              <w:rPr>
                <w:rFonts w:cs="Arial"/>
              </w:rPr>
              <w:t>In part</w:t>
            </w:r>
          </w:p>
        </w:tc>
        <w:tc>
          <w:tcPr>
            <w:tcW w:w="6520" w:type="dxa"/>
            <w:shd w:val="clear" w:color="auto" w:fill="auto"/>
          </w:tcPr>
          <w:p w14:paraId="5ACFAB95" w14:textId="77777777" w:rsidR="00F131AB" w:rsidRPr="00F131AB" w:rsidRDefault="00F131AB" w:rsidP="0029517D">
            <w:pPr>
              <w:spacing w:before="120" w:after="0"/>
              <w:rPr>
                <w:color w:val="auto"/>
              </w:rPr>
            </w:pPr>
            <w:r w:rsidRPr="00F131AB">
              <w:rPr>
                <w:color w:val="auto"/>
              </w:rPr>
              <w:t>The Business Plan 2021-22 includes an action to</w:t>
            </w:r>
            <w:r w:rsidRPr="00F131AB">
              <w:rPr>
                <w:rFonts w:eastAsiaTheme="minorHAnsi" w:cs="Arial"/>
                <w:color w:val="auto"/>
                <w:lang w:eastAsia="en-US"/>
              </w:rPr>
              <w:t xml:space="preserve"> develop a micro-grant programme for local community groups to access and deliver against local priorities, as part of the strategic grants</w:t>
            </w:r>
            <w:r w:rsidRPr="00F131AB">
              <w:rPr>
                <w:color w:val="auto"/>
              </w:rPr>
              <w:t xml:space="preserve"> </w:t>
            </w:r>
            <w:r w:rsidRPr="00F131AB">
              <w:rPr>
                <w:rFonts w:eastAsiaTheme="minorHAnsi" w:cs="Arial"/>
                <w:color w:val="auto"/>
                <w:lang w:eastAsia="en-US"/>
              </w:rPr>
              <w:t>review.</w:t>
            </w:r>
          </w:p>
          <w:p w14:paraId="6BF66A0A" w14:textId="77777777" w:rsidR="00F131AB" w:rsidRPr="00F131AB" w:rsidRDefault="00F131AB" w:rsidP="0029517D">
            <w:pPr>
              <w:spacing w:after="0"/>
              <w:rPr>
                <w:rFonts w:cs="Arial"/>
                <w:color w:val="auto"/>
              </w:rPr>
            </w:pPr>
          </w:p>
        </w:tc>
      </w:tr>
      <w:tr w:rsidR="00F131AB" w:rsidRPr="00AC577F" w14:paraId="599F4371" w14:textId="77777777" w:rsidTr="0029517D">
        <w:trPr>
          <w:trHeight w:val="1060"/>
        </w:trPr>
        <w:tc>
          <w:tcPr>
            <w:tcW w:w="6629" w:type="dxa"/>
            <w:shd w:val="clear" w:color="auto" w:fill="auto"/>
          </w:tcPr>
          <w:p w14:paraId="58CA9152"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t xml:space="preserve">That the Council monitors </w:t>
            </w:r>
            <w:r w:rsidRPr="00727D76">
              <w:rPr>
                <w:b/>
              </w:rPr>
              <w:t>the response rates for suitable non-statutory consultations against indices of multiple deprivation, and protected characteristics within the Equality Act.</w:t>
            </w:r>
          </w:p>
        </w:tc>
        <w:tc>
          <w:tcPr>
            <w:tcW w:w="1134" w:type="dxa"/>
            <w:shd w:val="clear" w:color="auto" w:fill="auto"/>
          </w:tcPr>
          <w:p w14:paraId="6E35CADB" w14:textId="77777777" w:rsidR="00F131AB" w:rsidRPr="00AC577F" w:rsidRDefault="00F131AB" w:rsidP="0029517D">
            <w:pPr>
              <w:spacing w:after="0"/>
              <w:rPr>
                <w:rFonts w:cs="Arial"/>
              </w:rPr>
            </w:pPr>
            <w:r>
              <w:rPr>
                <w:rFonts w:cs="Arial"/>
              </w:rPr>
              <w:t>In part</w:t>
            </w:r>
          </w:p>
        </w:tc>
        <w:tc>
          <w:tcPr>
            <w:tcW w:w="6520" w:type="dxa"/>
            <w:shd w:val="clear" w:color="auto" w:fill="auto"/>
          </w:tcPr>
          <w:p w14:paraId="20B42C1F" w14:textId="77777777" w:rsidR="00F131AB" w:rsidRPr="00F131AB" w:rsidRDefault="00F131AB" w:rsidP="0029517D">
            <w:pPr>
              <w:rPr>
                <w:rFonts w:cs="Arial"/>
                <w:color w:val="auto"/>
              </w:rPr>
            </w:pPr>
            <w:r w:rsidRPr="00F131AB">
              <w:rPr>
                <w:rFonts w:cs="Arial"/>
                <w:color w:val="auto"/>
              </w:rPr>
              <w:t>As part of the current public consultation process we collect data around some of the protected characteristics. These typically include data around, age, ethnicity, gender, disability and postcode.  However, for the Residents Panel we have much more detailed information about an individual as they have volunteered to be a member and agree to complete a recruitment questionnaire which also covers additional questions such as employment status and housing tenure.</w:t>
            </w:r>
          </w:p>
          <w:p w14:paraId="3B0D5EC7" w14:textId="77777777" w:rsidR="00F131AB" w:rsidRPr="00F131AB" w:rsidRDefault="00F131AB" w:rsidP="0029517D">
            <w:pPr>
              <w:rPr>
                <w:rFonts w:cs="Arial"/>
                <w:color w:val="auto"/>
              </w:rPr>
            </w:pPr>
            <w:r w:rsidRPr="00F131AB">
              <w:rPr>
                <w:rFonts w:cs="Arial"/>
                <w:color w:val="auto"/>
              </w:rPr>
              <w:t xml:space="preserve">There is a balance that we need to strike between having enough data about a participant and not asking so much that it puts a potential participant off taking part.  We need to be mindful of the fact that while some are happy to volunteer information about themselves, others are much more comfortable sharing a smaller amount of data.  Also these questions are entirely voluntary so what we receive depends on how much a participant is willing to share.  </w:t>
            </w:r>
          </w:p>
          <w:p w14:paraId="0AF9D702" w14:textId="77777777" w:rsidR="00F131AB" w:rsidRPr="00F131AB" w:rsidRDefault="00F131AB" w:rsidP="0029517D">
            <w:pPr>
              <w:rPr>
                <w:rFonts w:cs="Arial"/>
                <w:color w:val="auto"/>
              </w:rPr>
            </w:pPr>
            <w:r w:rsidRPr="00F131AB">
              <w:rPr>
                <w:rFonts w:cs="Arial"/>
                <w:color w:val="auto"/>
              </w:rPr>
              <w:lastRenderedPageBreak/>
              <w:t>We have a new online portal launching in March in which we will have a standard set of equalities questions to be included in each online survey to ensure consistency in the data we are collecting.</w:t>
            </w:r>
          </w:p>
          <w:p w14:paraId="2DBA0B9E" w14:textId="77777777" w:rsidR="00F131AB" w:rsidRPr="00F131AB" w:rsidRDefault="00F131AB" w:rsidP="0029517D">
            <w:pPr>
              <w:rPr>
                <w:rFonts w:cs="Arial"/>
                <w:color w:val="auto"/>
              </w:rPr>
            </w:pPr>
            <w:r w:rsidRPr="00F131AB">
              <w:rPr>
                <w:rFonts w:cs="Arial"/>
                <w:color w:val="auto"/>
              </w:rPr>
              <w:t xml:space="preserve">Carrying out analysis of the postcodes would also provide us with much richer information about which areas of the city responses are coming from and where they might be lacking.  This can be achieved through mapping software that can be used alongside the consultation portal and together they can help us pinpoint where responses are coming from.  </w:t>
            </w:r>
          </w:p>
          <w:p w14:paraId="555C8676" w14:textId="77777777" w:rsidR="00F131AB" w:rsidRPr="00F131AB" w:rsidRDefault="00F131AB" w:rsidP="0029517D">
            <w:pPr>
              <w:spacing w:after="0"/>
              <w:rPr>
                <w:rFonts w:cs="Arial"/>
                <w:color w:val="auto"/>
              </w:rPr>
            </w:pPr>
          </w:p>
        </w:tc>
      </w:tr>
      <w:tr w:rsidR="00F131AB" w:rsidRPr="00AC577F" w14:paraId="4D7AF90A" w14:textId="77777777" w:rsidTr="0029517D">
        <w:trPr>
          <w:trHeight w:val="1060"/>
        </w:trPr>
        <w:tc>
          <w:tcPr>
            <w:tcW w:w="6629" w:type="dxa"/>
            <w:shd w:val="clear" w:color="auto" w:fill="auto"/>
          </w:tcPr>
          <w:p w14:paraId="4DEB3971"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lastRenderedPageBreak/>
              <w:t xml:space="preserve">That the Council, when </w:t>
            </w:r>
            <w:r w:rsidRPr="00727D76">
              <w:rPr>
                <w:b/>
              </w:rPr>
              <w:t>conditions permit, has a regular physical presence, particularly at Templars Square shopping centre, but also at its community centres, and that it offers multiple channels, covering analogue and digital, to enable responses to be made.</w:t>
            </w:r>
          </w:p>
        </w:tc>
        <w:tc>
          <w:tcPr>
            <w:tcW w:w="1134" w:type="dxa"/>
            <w:shd w:val="clear" w:color="auto" w:fill="auto"/>
          </w:tcPr>
          <w:p w14:paraId="54077366" w14:textId="77777777" w:rsidR="00F131AB" w:rsidRPr="00AC577F" w:rsidRDefault="00F131AB" w:rsidP="0029517D">
            <w:pPr>
              <w:spacing w:after="0"/>
              <w:rPr>
                <w:rFonts w:cs="Arial"/>
              </w:rPr>
            </w:pPr>
            <w:r>
              <w:rPr>
                <w:rFonts w:cs="Arial"/>
              </w:rPr>
              <w:t>In part</w:t>
            </w:r>
          </w:p>
        </w:tc>
        <w:tc>
          <w:tcPr>
            <w:tcW w:w="6520" w:type="dxa"/>
            <w:shd w:val="clear" w:color="auto" w:fill="auto"/>
          </w:tcPr>
          <w:p w14:paraId="3CE2F79B" w14:textId="77777777" w:rsidR="00F131AB" w:rsidRPr="00F131AB" w:rsidRDefault="00F131AB" w:rsidP="0029517D">
            <w:pPr>
              <w:rPr>
                <w:color w:val="auto"/>
              </w:rPr>
            </w:pPr>
            <w:r w:rsidRPr="00F131AB">
              <w:rPr>
                <w:color w:val="auto"/>
              </w:rPr>
              <w:t>As per the revision of the business plan for 21/22 – two key priority actions are planned that directly respond to recommendation 4, that will support residents to engage and consult digitally and physically too:</w:t>
            </w:r>
          </w:p>
          <w:p w14:paraId="6A41D032" w14:textId="77777777" w:rsidR="00F131AB" w:rsidRPr="00F131AB" w:rsidRDefault="00F131AB" w:rsidP="0029517D">
            <w:pPr>
              <w:rPr>
                <w:color w:val="auto"/>
              </w:rPr>
            </w:pPr>
          </w:p>
          <w:p w14:paraId="79DCF4AA" w14:textId="77777777" w:rsidR="00F131AB" w:rsidRPr="00F131AB" w:rsidRDefault="00F131AB" w:rsidP="0029517D">
            <w:pPr>
              <w:rPr>
                <w:color w:val="auto"/>
              </w:rPr>
            </w:pPr>
            <w:r w:rsidRPr="00F131AB">
              <w:rPr>
                <w:color w:val="auto"/>
              </w:rPr>
              <w:t>Inclusive Economy:</w:t>
            </w:r>
          </w:p>
          <w:p w14:paraId="2CA30A2E" w14:textId="77777777" w:rsidR="00F131AB" w:rsidRPr="00F131AB" w:rsidRDefault="00F131AB" w:rsidP="00F131AB">
            <w:pPr>
              <w:pStyle w:val="ListParagraph"/>
              <w:numPr>
                <w:ilvl w:val="0"/>
                <w:numId w:val="20"/>
              </w:numPr>
              <w:tabs>
                <w:tab w:val="clear" w:pos="426"/>
              </w:tabs>
              <w:rPr>
                <w:b/>
                <w:bCs/>
                <w:iCs/>
                <w:color w:val="auto"/>
                <w:u w:val="single"/>
              </w:rPr>
            </w:pPr>
            <w:r w:rsidRPr="00F131AB">
              <w:rPr>
                <w:color w:val="auto"/>
              </w:rPr>
              <w:t>D</w:t>
            </w:r>
            <w:r w:rsidRPr="00F131AB">
              <w:rPr>
                <w:iCs/>
                <w:color w:val="auto"/>
              </w:rPr>
              <w:t xml:space="preserve">eliver the Customer Experience Strategy year 2 actions, including improving access and inclusion for our customers, </w:t>
            </w:r>
            <w:r w:rsidRPr="00F131AB">
              <w:rPr>
                <w:b/>
                <w:bCs/>
                <w:iCs/>
                <w:color w:val="auto"/>
                <w:u w:val="single"/>
              </w:rPr>
              <w:t>streamlining processes and maximising automation where possible with a particular focus on supporting and enabling people that do not have access to digital technologies to become more confident and connected.</w:t>
            </w:r>
          </w:p>
          <w:p w14:paraId="05CA5A43" w14:textId="77777777" w:rsidR="00F131AB" w:rsidRPr="00F131AB" w:rsidRDefault="00F131AB" w:rsidP="0029517D">
            <w:pPr>
              <w:rPr>
                <w:bCs/>
                <w:color w:val="auto"/>
              </w:rPr>
            </w:pPr>
            <w:r w:rsidRPr="00F131AB">
              <w:rPr>
                <w:bCs/>
                <w:color w:val="auto"/>
              </w:rPr>
              <w:t>Thriving Communities:</w:t>
            </w:r>
          </w:p>
          <w:p w14:paraId="3EF55DC2" w14:textId="77777777" w:rsidR="00F131AB" w:rsidRPr="00F131AB" w:rsidRDefault="00F131AB" w:rsidP="00F131AB">
            <w:pPr>
              <w:pStyle w:val="ListParagraph"/>
              <w:numPr>
                <w:ilvl w:val="0"/>
                <w:numId w:val="20"/>
              </w:numPr>
              <w:tabs>
                <w:tab w:val="clear" w:pos="426"/>
              </w:tabs>
              <w:spacing w:before="120"/>
              <w:rPr>
                <w:iCs/>
                <w:color w:val="auto"/>
              </w:rPr>
            </w:pPr>
            <w:r w:rsidRPr="00F131AB">
              <w:rPr>
                <w:iCs/>
                <w:color w:val="auto"/>
              </w:rPr>
              <w:t xml:space="preserve">Develop a more integrated </w:t>
            </w:r>
            <w:r w:rsidRPr="00F131AB">
              <w:rPr>
                <w:b/>
                <w:bCs/>
                <w:iCs/>
                <w:color w:val="auto"/>
                <w:u w:val="single"/>
              </w:rPr>
              <w:t xml:space="preserve">frontline locality-based service delivery offer involving 6 locality hub </w:t>
            </w:r>
            <w:r w:rsidRPr="00F131AB">
              <w:rPr>
                <w:b/>
                <w:bCs/>
                <w:iCs/>
                <w:color w:val="auto"/>
                <w:u w:val="single"/>
              </w:rPr>
              <w:lastRenderedPageBreak/>
              <w:t>teams</w:t>
            </w:r>
            <w:r w:rsidRPr="00F131AB">
              <w:rPr>
                <w:iCs/>
                <w:color w:val="auto"/>
              </w:rPr>
              <w:t xml:space="preserve"> that brings together housing, community services, tenancy management support, etc. to provide a framework for greater colocation with partners and an emphasis on:</w:t>
            </w:r>
          </w:p>
          <w:p w14:paraId="661AB5C3" w14:textId="77777777" w:rsidR="00F131AB" w:rsidRPr="00F131AB" w:rsidRDefault="00F131AB" w:rsidP="0029517D">
            <w:pPr>
              <w:pStyle w:val="ListParagraph"/>
              <w:numPr>
                <w:ilvl w:val="0"/>
                <w:numId w:val="0"/>
              </w:numPr>
              <w:spacing w:before="120"/>
              <w:ind w:left="720"/>
              <w:rPr>
                <w:b/>
                <w:bCs/>
                <w:iCs/>
                <w:color w:val="auto"/>
                <w:u w:val="single"/>
              </w:rPr>
            </w:pPr>
            <w:r w:rsidRPr="00F131AB">
              <w:rPr>
                <w:iCs/>
                <w:color w:val="auto"/>
              </w:rPr>
              <w:t xml:space="preserve">Community led co-productive social action – </w:t>
            </w:r>
            <w:r w:rsidRPr="00F131AB">
              <w:rPr>
                <w:b/>
                <w:bCs/>
                <w:iCs/>
                <w:color w:val="auto"/>
                <w:u w:val="single"/>
              </w:rPr>
              <w:t>where residents are involved in decision making on matters that affect them directly.</w:t>
            </w:r>
          </w:p>
          <w:p w14:paraId="29BBF553" w14:textId="77777777" w:rsidR="00F131AB" w:rsidRPr="00F131AB" w:rsidRDefault="00F131AB" w:rsidP="0029517D">
            <w:pPr>
              <w:pStyle w:val="ListParagraph"/>
              <w:numPr>
                <w:ilvl w:val="0"/>
                <w:numId w:val="0"/>
              </w:numPr>
              <w:spacing w:before="120"/>
              <w:ind w:left="720"/>
              <w:rPr>
                <w:b/>
                <w:bCs/>
                <w:iCs/>
                <w:color w:val="auto"/>
                <w:u w:val="single"/>
              </w:rPr>
            </w:pPr>
          </w:p>
          <w:p w14:paraId="2ABF31D1" w14:textId="77777777" w:rsidR="00F131AB" w:rsidRPr="00F131AB" w:rsidRDefault="00F131AB" w:rsidP="0029517D">
            <w:pPr>
              <w:spacing w:before="120"/>
              <w:rPr>
                <w:color w:val="auto"/>
              </w:rPr>
            </w:pPr>
            <w:r w:rsidRPr="00F131AB">
              <w:rPr>
                <w:color w:val="auto"/>
              </w:rPr>
              <w:t>Moreover, it is an implicit function that the Locality hub teams will facilitate consultation on key policy development areas – through local networks and facilitation techniques.</w:t>
            </w:r>
          </w:p>
          <w:p w14:paraId="03E6EF67" w14:textId="77777777" w:rsidR="00F131AB" w:rsidRPr="00F131AB" w:rsidRDefault="00F131AB" w:rsidP="0029517D">
            <w:pPr>
              <w:spacing w:before="120" w:after="0"/>
              <w:rPr>
                <w:rFonts w:cs="Arial"/>
                <w:color w:val="auto"/>
              </w:rPr>
            </w:pPr>
          </w:p>
        </w:tc>
      </w:tr>
      <w:tr w:rsidR="00F131AB" w:rsidRPr="00AC577F" w14:paraId="0FA81840" w14:textId="77777777" w:rsidTr="0029517D">
        <w:trPr>
          <w:trHeight w:val="1060"/>
        </w:trPr>
        <w:tc>
          <w:tcPr>
            <w:tcW w:w="6629" w:type="dxa"/>
            <w:shd w:val="clear" w:color="auto" w:fill="auto"/>
          </w:tcPr>
          <w:p w14:paraId="01B0DE70"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lastRenderedPageBreak/>
              <w:t xml:space="preserve">That the Council includes </w:t>
            </w:r>
            <w:r w:rsidRPr="00727D76">
              <w:rPr>
                <w:b/>
              </w:rPr>
              <w:t>phone contact details with ward member and/or relevant officer details for those who require support with responding to consultations.</w:t>
            </w:r>
          </w:p>
        </w:tc>
        <w:tc>
          <w:tcPr>
            <w:tcW w:w="1134" w:type="dxa"/>
            <w:shd w:val="clear" w:color="auto" w:fill="auto"/>
          </w:tcPr>
          <w:p w14:paraId="79520E14" w14:textId="77777777" w:rsidR="00F131AB" w:rsidRPr="00AC577F" w:rsidRDefault="00F131AB" w:rsidP="0029517D">
            <w:pPr>
              <w:spacing w:after="0"/>
              <w:rPr>
                <w:rFonts w:cs="Arial"/>
              </w:rPr>
            </w:pPr>
            <w:r>
              <w:rPr>
                <w:rFonts w:cs="Arial"/>
              </w:rPr>
              <w:t>Yes</w:t>
            </w:r>
          </w:p>
        </w:tc>
        <w:tc>
          <w:tcPr>
            <w:tcW w:w="6520" w:type="dxa"/>
            <w:shd w:val="clear" w:color="auto" w:fill="auto"/>
          </w:tcPr>
          <w:p w14:paraId="5BF31997" w14:textId="77777777" w:rsidR="00F131AB" w:rsidRPr="00F131AB" w:rsidRDefault="00F131AB" w:rsidP="0029517D">
            <w:pPr>
              <w:rPr>
                <w:color w:val="auto"/>
              </w:rPr>
            </w:pPr>
            <w:r w:rsidRPr="00F131AB">
              <w:rPr>
                <w:color w:val="auto"/>
              </w:rPr>
              <w:t xml:space="preserve">With the agreement of ward members this information can be included alongside each consultation.  On the consultation portal this can be included alongside other information about the consultation such as start and end dates, descriptions etc.  For paper surveys this could also be easily included provided ward members are in agreement.  For officers, again this information can be included with their agreement and the assurance that they would only be contactable during office hours.  </w:t>
            </w:r>
          </w:p>
          <w:p w14:paraId="18299E3C" w14:textId="77777777" w:rsidR="00F131AB" w:rsidRPr="00F131AB" w:rsidRDefault="00F131AB" w:rsidP="0029517D">
            <w:pPr>
              <w:spacing w:after="0"/>
              <w:rPr>
                <w:rFonts w:cs="Arial"/>
                <w:color w:val="auto"/>
              </w:rPr>
            </w:pPr>
          </w:p>
        </w:tc>
      </w:tr>
      <w:tr w:rsidR="00F131AB" w:rsidRPr="00AC577F" w14:paraId="11D64E99" w14:textId="77777777" w:rsidTr="0029517D">
        <w:trPr>
          <w:trHeight w:val="1060"/>
        </w:trPr>
        <w:tc>
          <w:tcPr>
            <w:tcW w:w="6629" w:type="dxa"/>
            <w:shd w:val="clear" w:color="auto" w:fill="auto"/>
          </w:tcPr>
          <w:p w14:paraId="3EB7086C"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rPr>
              <w:t>That the Council holds regular meetings with private tenant unions.</w:t>
            </w:r>
          </w:p>
        </w:tc>
        <w:tc>
          <w:tcPr>
            <w:tcW w:w="1134" w:type="dxa"/>
            <w:shd w:val="clear" w:color="auto" w:fill="auto"/>
          </w:tcPr>
          <w:p w14:paraId="0ECAE16B" w14:textId="77777777" w:rsidR="00F131AB" w:rsidRPr="00AC577F" w:rsidRDefault="00F131AB" w:rsidP="0029517D">
            <w:pPr>
              <w:spacing w:after="0"/>
              <w:rPr>
                <w:rFonts w:cs="Arial"/>
              </w:rPr>
            </w:pPr>
            <w:r>
              <w:rPr>
                <w:rFonts w:cs="Arial"/>
              </w:rPr>
              <w:t>Yes</w:t>
            </w:r>
          </w:p>
        </w:tc>
        <w:tc>
          <w:tcPr>
            <w:tcW w:w="6520" w:type="dxa"/>
            <w:shd w:val="clear" w:color="auto" w:fill="auto"/>
          </w:tcPr>
          <w:p w14:paraId="1836729B" w14:textId="77777777" w:rsidR="00F131AB" w:rsidRPr="00F131AB" w:rsidRDefault="00F131AB" w:rsidP="0029517D">
            <w:pPr>
              <w:rPr>
                <w:rFonts w:eastAsiaTheme="minorHAnsi" w:cs="Arial"/>
                <w:color w:val="auto"/>
                <w:lang w:eastAsia="en-US"/>
              </w:rPr>
            </w:pPr>
            <w:r w:rsidRPr="00F131AB">
              <w:rPr>
                <w:color w:val="auto"/>
              </w:rPr>
              <w:t>The Business Plan 2021-</w:t>
            </w:r>
            <w:r w:rsidRPr="00F131AB">
              <w:rPr>
                <w:rFonts w:cs="Arial"/>
                <w:color w:val="auto"/>
              </w:rPr>
              <w:t>22 includes an action to d</w:t>
            </w:r>
            <w:r w:rsidRPr="00F131AB">
              <w:rPr>
                <w:rFonts w:eastAsiaTheme="minorHAnsi" w:cs="Arial"/>
                <w:color w:val="auto"/>
                <w:lang w:eastAsia="en-US"/>
              </w:rPr>
              <w:t>evelop relationships with tenants groups to help enable tenants to be empowered in their relationships with landlords and agents.</w:t>
            </w:r>
          </w:p>
          <w:p w14:paraId="7BD768A4" w14:textId="77777777" w:rsidR="00F131AB" w:rsidRPr="00F131AB" w:rsidRDefault="00F131AB" w:rsidP="0029517D">
            <w:pPr>
              <w:spacing w:after="0"/>
              <w:rPr>
                <w:rFonts w:cs="Arial"/>
                <w:color w:val="auto"/>
              </w:rPr>
            </w:pPr>
          </w:p>
        </w:tc>
      </w:tr>
      <w:tr w:rsidR="00F131AB" w:rsidRPr="00AC577F" w14:paraId="3678A4FF" w14:textId="77777777" w:rsidTr="0029517D">
        <w:trPr>
          <w:trHeight w:val="1060"/>
        </w:trPr>
        <w:tc>
          <w:tcPr>
            <w:tcW w:w="6629" w:type="dxa"/>
            <w:shd w:val="clear" w:color="auto" w:fill="auto"/>
          </w:tcPr>
          <w:p w14:paraId="6591F02A"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lastRenderedPageBreak/>
              <w:t xml:space="preserve">That the Council, when </w:t>
            </w:r>
            <w:r w:rsidRPr="00727D76">
              <w:rPr>
                <w:b/>
              </w:rPr>
              <w:t>periods of significant public debate arise (including on areas not the direct responsibility of the Council), considers facilitating a public discussion over them similar to the recently-held Town Hall meeting.</w:t>
            </w:r>
          </w:p>
        </w:tc>
        <w:tc>
          <w:tcPr>
            <w:tcW w:w="1134" w:type="dxa"/>
            <w:shd w:val="clear" w:color="auto" w:fill="auto"/>
          </w:tcPr>
          <w:p w14:paraId="2AB75805" w14:textId="77777777" w:rsidR="00F131AB" w:rsidRPr="00AC577F" w:rsidRDefault="00F131AB" w:rsidP="0029517D">
            <w:pPr>
              <w:spacing w:after="0"/>
              <w:rPr>
                <w:rFonts w:cs="Arial"/>
              </w:rPr>
            </w:pPr>
            <w:r>
              <w:rPr>
                <w:rFonts w:cs="Arial"/>
              </w:rPr>
              <w:t>Yes</w:t>
            </w:r>
          </w:p>
        </w:tc>
        <w:tc>
          <w:tcPr>
            <w:tcW w:w="6520" w:type="dxa"/>
            <w:shd w:val="clear" w:color="auto" w:fill="auto"/>
          </w:tcPr>
          <w:p w14:paraId="56B88CB6" w14:textId="77777777" w:rsidR="00F131AB" w:rsidRPr="00F131AB" w:rsidRDefault="00F131AB" w:rsidP="0029517D">
            <w:pPr>
              <w:rPr>
                <w:color w:val="auto"/>
              </w:rPr>
            </w:pPr>
            <w:r w:rsidRPr="00F131AB">
              <w:rPr>
                <w:color w:val="auto"/>
              </w:rPr>
              <w:t>It is clear we would want to utilise this engagement format in the future on an ad hoc basis and as appropriate.</w:t>
            </w:r>
          </w:p>
          <w:p w14:paraId="00FAF43E" w14:textId="77777777" w:rsidR="00F131AB" w:rsidRPr="00F131AB" w:rsidRDefault="00F131AB" w:rsidP="0029517D">
            <w:pPr>
              <w:spacing w:after="0"/>
              <w:rPr>
                <w:rFonts w:cs="Arial"/>
                <w:color w:val="auto"/>
              </w:rPr>
            </w:pPr>
            <w:r w:rsidRPr="00F131AB">
              <w:rPr>
                <w:color w:val="auto"/>
              </w:rPr>
              <w:t>We would also like to resume running focus groups in person with residents when we are able to as this provides us with a detailed insight into their views.</w:t>
            </w:r>
          </w:p>
        </w:tc>
      </w:tr>
      <w:tr w:rsidR="00F131AB" w:rsidRPr="00AC577F" w14:paraId="533580BA" w14:textId="77777777" w:rsidTr="0029517D">
        <w:trPr>
          <w:trHeight w:val="1060"/>
        </w:trPr>
        <w:tc>
          <w:tcPr>
            <w:tcW w:w="6629" w:type="dxa"/>
            <w:shd w:val="clear" w:color="auto" w:fill="auto"/>
          </w:tcPr>
          <w:p w14:paraId="4D5EA680"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t xml:space="preserve">That the Council creates </w:t>
            </w:r>
            <w:r w:rsidRPr="00727D76">
              <w:rPr>
                <w:b/>
              </w:rPr>
              <w:t>frameworks and guidelines around how and when the Council will engage with and use its elected members when undertaking consultations.</w:t>
            </w:r>
          </w:p>
        </w:tc>
        <w:tc>
          <w:tcPr>
            <w:tcW w:w="1134" w:type="dxa"/>
            <w:shd w:val="clear" w:color="auto" w:fill="auto"/>
          </w:tcPr>
          <w:p w14:paraId="432655F7" w14:textId="77777777" w:rsidR="00F131AB" w:rsidRPr="00AC577F" w:rsidRDefault="00F131AB" w:rsidP="0029517D">
            <w:pPr>
              <w:spacing w:after="0"/>
              <w:rPr>
                <w:rFonts w:cs="Arial"/>
              </w:rPr>
            </w:pPr>
            <w:r>
              <w:rPr>
                <w:rFonts w:cs="Arial"/>
              </w:rPr>
              <w:t>Yes</w:t>
            </w:r>
          </w:p>
        </w:tc>
        <w:tc>
          <w:tcPr>
            <w:tcW w:w="6520" w:type="dxa"/>
            <w:shd w:val="clear" w:color="auto" w:fill="auto"/>
          </w:tcPr>
          <w:p w14:paraId="30BCB9ED" w14:textId="77777777" w:rsidR="00F131AB" w:rsidRPr="00F131AB" w:rsidRDefault="00F131AB" w:rsidP="0029517D">
            <w:pPr>
              <w:rPr>
                <w:rFonts w:cs="Arial"/>
                <w:color w:val="auto"/>
              </w:rPr>
            </w:pPr>
            <w:r w:rsidRPr="00F131AB">
              <w:rPr>
                <w:color w:val="auto"/>
              </w:rPr>
              <w:t>Officers will look at the opportunity to include a Community Engagement Framework as part of the revised Community Engagement Policy Statement.  All members should be alerted to the fact a consultation in their ward is taking place and should be encouraged to get involved to help collect information, particularly if a potential resident finds it difficult to contribute due to factors such as language barriers or IT concerns.</w:t>
            </w:r>
          </w:p>
        </w:tc>
      </w:tr>
      <w:tr w:rsidR="00F131AB" w:rsidRPr="00AC577F" w14:paraId="288365F9" w14:textId="77777777" w:rsidTr="0029517D">
        <w:trPr>
          <w:trHeight w:val="1060"/>
        </w:trPr>
        <w:tc>
          <w:tcPr>
            <w:tcW w:w="6629" w:type="dxa"/>
            <w:shd w:val="clear" w:color="auto" w:fill="auto"/>
          </w:tcPr>
          <w:p w14:paraId="46985249" w14:textId="77777777" w:rsidR="00F131AB" w:rsidRPr="00727D76" w:rsidRDefault="00F131AB" w:rsidP="00F131AB">
            <w:pPr>
              <w:pStyle w:val="ListParagraph"/>
              <w:numPr>
                <w:ilvl w:val="0"/>
                <w:numId w:val="18"/>
              </w:numPr>
              <w:spacing w:after="0"/>
              <w:contextualSpacing/>
              <w:rPr>
                <w:rFonts w:cs="Arial"/>
                <w:b/>
                <w:color w:val="000000" w:themeColor="text1"/>
              </w:rPr>
            </w:pPr>
            <w:r w:rsidRPr="00727D76">
              <w:rPr>
                <w:b/>
                <w:color w:val="000000" w:themeColor="text1"/>
              </w:rPr>
              <w:t xml:space="preserve">That the Council is </w:t>
            </w:r>
            <w:r w:rsidRPr="00727D76">
              <w:rPr>
                <w:b/>
              </w:rPr>
              <w:t>flexible in its approach to consultation periods in non-statutory consultations and is willing and able to allow feedback made outside the official consultation to be meaningfully considered.</w:t>
            </w:r>
          </w:p>
        </w:tc>
        <w:tc>
          <w:tcPr>
            <w:tcW w:w="1134" w:type="dxa"/>
            <w:shd w:val="clear" w:color="auto" w:fill="auto"/>
          </w:tcPr>
          <w:p w14:paraId="5C9997E1" w14:textId="77777777" w:rsidR="00F131AB" w:rsidRPr="00AC577F" w:rsidRDefault="00F131AB" w:rsidP="0029517D">
            <w:pPr>
              <w:spacing w:after="0"/>
              <w:rPr>
                <w:rFonts w:cs="Arial"/>
              </w:rPr>
            </w:pPr>
            <w:r>
              <w:rPr>
                <w:rFonts w:cs="Arial"/>
              </w:rPr>
              <w:t>In part</w:t>
            </w:r>
          </w:p>
        </w:tc>
        <w:tc>
          <w:tcPr>
            <w:tcW w:w="6520" w:type="dxa"/>
            <w:shd w:val="clear" w:color="auto" w:fill="auto"/>
          </w:tcPr>
          <w:p w14:paraId="0B647905" w14:textId="77777777" w:rsidR="00F131AB" w:rsidRPr="00F131AB" w:rsidRDefault="00F131AB" w:rsidP="0029517D">
            <w:pPr>
              <w:spacing w:after="0"/>
              <w:rPr>
                <w:rFonts w:cs="Arial"/>
                <w:color w:val="auto"/>
              </w:rPr>
            </w:pPr>
            <w:r w:rsidRPr="00F131AB">
              <w:rPr>
                <w:color w:val="auto"/>
              </w:rPr>
              <w:t xml:space="preserve">Consultations must have open and close dates as we usually need to collect the data in order to feed it into a strategy’s development or a project timeline and leaving it open will not allow us do that.  However we can include a note that states after the closing date people can give us their views with the caveat that they may be too late to be included in the official consultations findings/report.  However they can be considered for any future work related to this consultation.   </w:t>
            </w:r>
          </w:p>
        </w:tc>
      </w:tr>
    </w:tbl>
    <w:p w14:paraId="53EBBAED" w14:textId="77777777" w:rsidR="00F131AB" w:rsidRPr="006A5C65" w:rsidRDefault="00F131AB" w:rsidP="00F131AB">
      <w:pPr>
        <w:spacing w:after="0"/>
        <w:ind w:left="644" w:hanging="360"/>
        <w:rPr>
          <w:color w:val="auto"/>
        </w:rPr>
      </w:pPr>
    </w:p>
    <w:p w14:paraId="4CA5CDDE" w14:textId="77777777" w:rsidR="00F131AB" w:rsidRDefault="00F131AB" w:rsidP="00F131AB">
      <w:pPr>
        <w:rPr>
          <w:rFonts w:cs="Arial"/>
          <w:b/>
        </w:rPr>
      </w:pPr>
    </w:p>
    <w:p w14:paraId="0FD7977E" w14:textId="77777777" w:rsidR="00F131AB" w:rsidRDefault="00F131AB" w:rsidP="00F131AB">
      <w:pPr>
        <w:rPr>
          <w:rFonts w:cs="Arial"/>
          <w:b/>
        </w:rPr>
      </w:pPr>
    </w:p>
    <w:p w14:paraId="5CDB6815" w14:textId="77777777" w:rsidR="00F131AB" w:rsidRDefault="00F131AB" w:rsidP="00F131AB">
      <w:pPr>
        <w:rPr>
          <w:rFonts w:cs="Arial"/>
          <w:b/>
        </w:rPr>
      </w:pPr>
    </w:p>
    <w:p w14:paraId="6834C704" w14:textId="77777777" w:rsidR="00F131AB" w:rsidRDefault="00F131AB" w:rsidP="00F131AB">
      <w:pPr>
        <w:rPr>
          <w:rFonts w:cs="Arial"/>
          <w:b/>
        </w:rPr>
      </w:pPr>
    </w:p>
    <w:p w14:paraId="4BC3D90B" w14:textId="77777777" w:rsidR="00F131AB" w:rsidRDefault="00F131AB" w:rsidP="00F131AB">
      <w:pPr>
        <w:rPr>
          <w:rFonts w:cs="Arial"/>
          <w:b/>
        </w:rPr>
      </w:pPr>
    </w:p>
    <w:p w14:paraId="336A46C0" w14:textId="77777777" w:rsidR="00F131AB" w:rsidRDefault="00F131AB" w:rsidP="00F131AB">
      <w:pPr>
        <w:rPr>
          <w:rFonts w:cs="Arial"/>
          <w:b/>
        </w:rPr>
      </w:pPr>
    </w:p>
    <w:p w14:paraId="68F20571" w14:textId="77777777" w:rsidR="00F131AB" w:rsidRDefault="00F131AB" w:rsidP="00F131AB">
      <w:pPr>
        <w:rPr>
          <w:rFonts w:cs="Arial"/>
          <w:b/>
        </w:rPr>
      </w:pPr>
      <w:r>
        <w:rPr>
          <w:rFonts w:cs="Arial"/>
          <w:b/>
        </w:rPr>
        <w:lastRenderedPageBreak/>
        <w:t xml:space="preserve">Cabinet response to recommendations of the Scrutiny Committee made on 02/02/2021 concerning </w:t>
      </w:r>
      <w:r>
        <w:rPr>
          <w:b/>
        </w:rPr>
        <w:t>the Zero Carbon Council report</w:t>
      </w:r>
    </w:p>
    <w:p w14:paraId="27C7BB29" w14:textId="77777777" w:rsidR="00F131AB" w:rsidRDefault="00F131AB" w:rsidP="00F131AB">
      <w:pPr>
        <w:spacing w:after="0"/>
        <w:rPr>
          <w:b/>
        </w:rPr>
      </w:pPr>
      <w:r>
        <w:rPr>
          <w:rFonts w:cs="Arial"/>
          <w:b/>
        </w:rPr>
        <w:t xml:space="preserve">Response provided by Deputy </w:t>
      </w:r>
      <w:r>
        <w:rPr>
          <w:b/>
        </w:rPr>
        <w:t>Leader of the Council and Cabinet Member for Green Transport and Zero Carbon Oxford, Tom Hayes</w:t>
      </w:r>
    </w:p>
    <w:p w14:paraId="3463D815" w14:textId="77777777" w:rsidR="00F131AB" w:rsidRDefault="00F131AB" w:rsidP="00F131AB">
      <w:pPr>
        <w:spacing w:after="0"/>
        <w:rPr>
          <w:b/>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131AB" w14:paraId="547CE78B" w14:textId="77777777" w:rsidTr="00F131AB">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655C57" w14:textId="77777777" w:rsidR="00F131AB" w:rsidRDefault="00F131AB">
            <w:pPr>
              <w:spacing w:line="256" w:lineRule="auto"/>
              <w:rPr>
                <w:rFonts w:cs="Arial"/>
                <w:b/>
                <w:i/>
                <w:lang w:eastAsia="en-US"/>
              </w:rPr>
            </w:pPr>
            <w:r>
              <w:rPr>
                <w:rFonts w:cs="Arial"/>
                <w:b/>
                <w:i/>
                <w:lang w:eastAsia="en-US"/>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947715" w14:textId="77777777" w:rsidR="00F131AB" w:rsidRDefault="00F131AB">
            <w:pPr>
              <w:spacing w:line="256" w:lineRule="auto"/>
              <w:rPr>
                <w:rFonts w:cs="Arial"/>
                <w:b/>
                <w:i/>
                <w:lang w:eastAsia="en-US"/>
              </w:rPr>
            </w:pPr>
            <w:r>
              <w:rPr>
                <w:rFonts w:cs="Arial"/>
                <w:b/>
                <w:i/>
                <w:lang w:eastAsia="en-US"/>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A935AB" w14:textId="77777777" w:rsidR="00F131AB" w:rsidRDefault="00F131AB">
            <w:pPr>
              <w:spacing w:line="256" w:lineRule="auto"/>
              <w:rPr>
                <w:rFonts w:cs="Arial"/>
                <w:b/>
                <w:i/>
                <w:lang w:eastAsia="en-US"/>
              </w:rPr>
            </w:pPr>
            <w:r>
              <w:rPr>
                <w:rFonts w:cs="Arial"/>
                <w:b/>
                <w:i/>
                <w:lang w:eastAsia="en-US"/>
              </w:rPr>
              <w:t>Comment</w:t>
            </w:r>
          </w:p>
        </w:tc>
      </w:tr>
      <w:tr w:rsidR="00F131AB" w14:paraId="218F1C7E" w14:textId="77777777" w:rsidTr="00F131AB">
        <w:trPr>
          <w:trHeight w:val="1060"/>
        </w:trPr>
        <w:tc>
          <w:tcPr>
            <w:tcW w:w="6629" w:type="dxa"/>
            <w:tcBorders>
              <w:top w:val="single" w:sz="4" w:space="0" w:color="auto"/>
              <w:left w:val="single" w:sz="4" w:space="0" w:color="auto"/>
              <w:bottom w:val="single" w:sz="4" w:space="0" w:color="auto"/>
              <w:right w:val="single" w:sz="4" w:space="0" w:color="auto"/>
            </w:tcBorders>
            <w:hideMark/>
          </w:tcPr>
          <w:p w14:paraId="56CB943D" w14:textId="77777777" w:rsidR="00F131AB" w:rsidRDefault="00F131AB" w:rsidP="00F131AB">
            <w:pPr>
              <w:pStyle w:val="ListParagraph"/>
              <w:numPr>
                <w:ilvl w:val="0"/>
                <w:numId w:val="22"/>
              </w:numPr>
              <w:tabs>
                <w:tab w:val="clear" w:pos="426"/>
                <w:tab w:val="left" w:pos="720"/>
              </w:tabs>
              <w:spacing w:after="160" w:line="252" w:lineRule="auto"/>
              <w:contextualSpacing/>
              <w:rPr>
                <w:rFonts w:cs="Arial"/>
                <w:b/>
                <w:color w:val="000000" w:themeColor="text1"/>
                <w:lang w:eastAsia="en-US"/>
              </w:rPr>
            </w:pPr>
            <w:r>
              <w:rPr>
                <w:rFonts w:cs="Arial"/>
                <w:b/>
                <w:lang w:eastAsia="en-US"/>
              </w:rPr>
              <w:t xml:space="preserve">That the Council </w:t>
            </w:r>
            <w:r>
              <w:rPr>
                <w:b/>
                <w:lang w:eastAsia="en-US"/>
              </w:rPr>
              <w:t>develops the Carbon Management Plan to align with established 'net zero' measurement, reporting and target-setting standards and guidance (e.g. PAS 2060, Carbon Neutral Protocol, GHG Protocol Organisational and Scope 3 Standards, Science-based Target Initiative) to ensure that terminology is used correctly. </w:t>
            </w:r>
          </w:p>
        </w:tc>
        <w:tc>
          <w:tcPr>
            <w:tcW w:w="1134" w:type="dxa"/>
            <w:tcBorders>
              <w:top w:val="single" w:sz="4" w:space="0" w:color="auto"/>
              <w:left w:val="single" w:sz="4" w:space="0" w:color="auto"/>
              <w:bottom w:val="single" w:sz="4" w:space="0" w:color="auto"/>
              <w:right w:val="single" w:sz="4" w:space="0" w:color="auto"/>
            </w:tcBorders>
            <w:hideMark/>
          </w:tcPr>
          <w:p w14:paraId="5B02D2B5" w14:textId="77777777" w:rsidR="00F131AB" w:rsidRDefault="00F131AB">
            <w:pPr>
              <w:spacing w:after="0" w:line="256" w:lineRule="auto"/>
              <w:rPr>
                <w:rFonts w:cs="Arial"/>
                <w:lang w:eastAsia="en-US"/>
              </w:rPr>
            </w:pPr>
            <w:r>
              <w:rPr>
                <w:rFonts w:cs="Arial"/>
                <w:lang w:eastAsia="en-US"/>
              </w:rPr>
              <w:t>Not agreed</w:t>
            </w:r>
          </w:p>
        </w:tc>
        <w:tc>
          <w:tcPr>
            <w:tcW w:w="6520" w:type="dxa"/>
            <w:tcBorders>
              <w:top w:val="single" w:sz="4" w:space="0" w:color="auto"/>
              <w:left w:val="single" w:sz="4" w:space="0" w:color="auto"/>
              <w:bottom w:val="single" w:sz="4" w:space="0" w:color="auto"/>
              <w:right w:val="single" w:sz="4" w:space="0" w:color="auto"/>
            </w:tcBorders>
            <w:hideMark/>
          </w:tcPr>
          <w:p w14:paraId="165A4ED6" w14:textId="77777777" w:rsidR="00F131AB" w:rsidRDefault="00F131AB">
            <w:pPr>
              <w:spacing w:after="0" w:line="256" w:lineRule="auto"/>
              <w:rPr>
                <w:rFonts w:cs="Arial"/>
                <w:color w:val="auto"/>
                <w:lang w:eastAsia="en-US"/>
              </w:rPr>
            </w:pPr>
            <w:r>
              <w:rPr>
                <w:color w:val="auto"/>
                <w:lang w:eastAsia="en-US"/>
              </w:rPr>
              <w:t xml:space="preserve">The basis for measurement in this plan is the same as on each previous occasion </w:t>
            </w:r>
            <w:proofErr w:type="spellStart"/>
            <w:r>
              <w:rPr>
                <w:color w:val="auto"/>
                <w:lang w:eastAsia="en-US"/>
              </w:rPr>
              <w:t>ie</w:t>
            </w:r>
            <w:proofErr w:type="spellEnd"/>
            <w:r>
              <w:rPr>
                <w:color w:val="auto"/>
                <w:lang w:eastAsia="en-US"/>
              </w:rPr>
              <w:t xml:space="preserve"> using the reporting required by central government in the form of the Green House Gas Report.  The report gives a comprehensive view of the council’s performance in the areas targeted in the plan.  Maintaining the same measure also enables, like for like comparison across previous plan periods.</w:t>
            </w:r>
          </w:p>
        </w:tc>
      </w:tr>
      <w:tr w:rsidR="00F131AB" w14:paraId="4DCB5CB0" w14:textId="77777777" w:rsidTr="00F131AB">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A44E2D2" w14:textId="77777777" w:rsidR="00F131AB" w:rsidRDefault="00F131AB" w:rsidP="00F131AB">
            <w:pPr>
              <w:pStyle w:val="ListParagraph"/>
              <w:numPr>
                <w:ilvl w:val="0"/>
                <w:numId w:val="22"/>
              </w:numPr>
              <w:tabs>
                <w:tab w:val="clear" w:pos="426"/>
                <w:tab w:val="left" w:pos="720"/>
              </w:tabs>
              <w:spacing w:after="160" w:line="252" w:lineRule="auto"/>
              <w:contextualSpacing/>
              <w:rPr>
                <w:rFonts w:cs="Arial"/>
                <w:b/>
                <w:lang w:eastAsia="en-US"/>
              </w:rPr>
            </w:pPr>
            <w:r>
              <w:rPr>
                <w:rFonts w:cs="Arial"/>
                <w:b/>
                <w:lang w:eastAsia="en-US"/>
              </w:rPr>
              <w:t xml:space="preserve">That the Council </w:t>
            </w:r>
            <w:r>
              <w:rPr>
                <w:b/>
                <w:lang w:eastAsia="en-US"/>
              </w:rPr>
              <w:t>subjects the resulting report and the 'net zero' claim to independent audit</w:t>
            </w:r>
          </w:p>
        </w:tc>
        <w:tc>
          <w:tcPr>
            <w:tcW w:w="1134" w:type="dxa"/>
            <w:tcBorders>
              <w:top w:val="single" w:sz="4" w:space="0" w:color="auto"/>
              <w:left w:val="single" w:sz="4" w:space="0" w:color="auto"/>
              <w:bottom w:val="single" w:sz="4" w:space="0" w:color="auto"/>
              <w:right w:val="single" w:sz="4" w:space="0" w:color="auto"/>
            </w:tcBorders>
            <w:hideMark/>
          </w:tcPr>
          <w:p w14:paraId="0FBE4BFD" w14:textId="77777777" w:rsidR="00F131AB" w:rsidRDefault="00F131AB">
            <w:pPr>
              <w:spacing w:after="0" w:line="256" w:lineRule="auto"/>
              <w:rPr>
                <w:rFonts w:cs="Arial"/>
                <w:lang w:eastAsia="en-US"/>
              </w:rPr>
            </w:pPr>
            <w:r>
              <w:rPr>
                <w:rFonts w:cs="Arial"/>
                <w:lang w:eastAsia="en-US"/>
              </w:rPr>
              <w:t>Not agreed</w:t>
            </w:r>
          </w:p>
        </w:tc>
        <w:tc>
          <w:tcPr>
            <w:tcW w:w="6520" w:type="dxa"/>
            <w:tcBorders>
              <w:top w:val="single" w:sz="4" w:space="0" w:color="auto"/>
              <w:left w:val="single" w:sz="4" w:space="0" w:color="auto"/>
              <w:bottom w:val="single" w:sz="4" w:space="0" w:color="auto"/>
              <w:right w:val="single" w:sz="4" w:space="0" w:color="auto"/>
            </w:tcBorders>
            <w:hideMark/>
          </w:tcPr>
          <w:p w14:paraId="1275D725" w14:textId="77777777" w:rsidR="00F131AB" w:rsidRDefault="00F131AB">
            <w:pPr>
              <w:spacing w:after="0" w:line="256" w:lineRule="auto"/>
              <w:rPr>
                <w:rFonts w:cs="Arial"/>
                <w:color w:val="auto"/>
                <w:lang w:eastAsia="en-US"/>
              </w:rPr>
            </w:pPr>
            <w:r>
              <w:rPr>
                <w:color w:val="auto"/>
                <w:lang w:eastAsia="en-US"/>
              </w:rPr>
              <w:t xml:space="preserve">The Green House Gas report is already subject to scrutiny and validation by </w:t>
            </w:r>
            <w:r>
              <w:rPr>
                <w:color w:val="auto"/>
                <w:shd w:val="clear" w:color="auto" w:fill="FFFFFF"/>
                <w:lang w:eastAsia="en-US"/>
              </w:rPr>
              <w:t>The Department for Business, Energy and Industrial Strategy.  An additional audit would be an unnecessary burden in time and cost.</w:t>
            </w:r>
          </w:p>
        </w:tc>
      </w:tr>
      <w:tr w:rsidR="00F131AB" w14:paraId="78287319" w14:textId="77777777" w:rsidTr="00F131AB">
        <w:trPr>
          <w:trHeight w:val="1060"/>
        </w:trPr>
        <w:tc>
          <w:tcPr>
            <w:tcW w:w="6629" w:type="dxa"/>
            <w:tcBorders>
              <w:top w:val="single" w:sz="4" w:space="0" w:color="auto"/>
              <w:left w:val="single" w:sz="4" w:space="0" w:color="auto"/>
              <w:bottom w:val="single" w:sz="4" w:space="0" w:color="auto"/>
              <w:right w:val="single" w:sz="4" w:space="0" w:color="auto"/>
            </w:tcBorders>
          </w:tcPr>
          <w:p w14:paraId="0DAFB943" w14:textId="77777777" w:rsidR="00F131AB" w:rsidRDefault="00F131AB" w:rsidP="00F131AB">
            <w:pPr>
              <w:pStyle w:val="ListParagraph"/>
              <w:numPr>
                <w:ilvl w:val="0"/>
                <w:numId w:val="22"/>
              </w:numPr>
              <w:tabs>
                <w:tab w:val="clear" w:pos="426"/>
                <w:tab w:val="left" w:pos="720"/>
              </w:tabs>
              <w:spacing w:after="160" w:line="252" w:lineRule="auto"/>
              <w:contextualSpacing/>
              <w:rPr>
                <w:rFonts w:cs="Arial"/>
                <w:b/>
                <w:lang w:eastAsia="en-US"/>
              </w:rPr>
            </w:pPr>
            <w:r>
              <w:rPr>
                <w:rFonts w:cs="Arial"/>
                <w:b/>
                <w:lang w:eastAsia="en-US"/>
              </w:rPr>
              <w:t xml:space="preserve">That the Council </w:t>
            </w:r>
            <w:r>
              <w:rPr>
                <w:b/>
                <w:lang w:eastAsia="en-US"/>
              </w:rPr>
              <w:t>undertakes a carbon cost-benefit analysis to guide decision-making and to ensure that the quickest and most cost effective carbon reduction measures are pursued first.</w:t>
            </w:r>
          </w:p>
          <w:p w14:paraId="2962F357" w14:textId="77777777" w:rsidR="00F131AB" w:rsidRDefault="00F131AB">
            <w:pPr>
              <w:spacing w:after="160" w:line="252" w:lineRule="auto"/>
              <w:ind w:left="644" w:hanging="360"/>
              <w:contextualSpacing/>
              <w:rPr>
                <w:rFonts w:cs="Arial"/>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41E2CB1" w14:textId="77777777" w:rsidR="00F131AB" w:rsidRDefault="00F131AB">
            <w:pPr>
              <w:spacing w:after="0" w:line="256" w:lineRule="auto"/>
              <w:rPr>
                <w:rFonts w:cs="Arial"/>
                <w:lang w:eastAsia="en-US"/>
              </w:rPr>
            </w:pPr>
            <w:r>
              <w:rPr>
                <w:rFonts w:cs="Arial"/>
                <w:lang w:eastAsia="en-US"/>
              </w:rPr>
              <w:t>Not agreed</w:t>
            </w:r>
          </w:p>
        </w:tc>
        <w:tc>
          <w:tcPr>
            <w:tcW w:w="6520" w:type="dxa"/>
            <w:tcBorders>
              <w:top w:val="single" w:sz="4" w:space="0" w:color="auto"/>
              <w:left w:val="single" w:sz="4" w:space="0" w:color="auto"/>
              <w:bottom w:val="single" w:sz="4" w:space="0" w:color="auto"/>
              <w:right w:val="single" w:sz="4" w:space="0" w:color="auto"/>
            </w:tcBorders>
            <w:hideMark/>
          </w:tcPr>
          <w:p w14:paraId="24A56535" w14:textId="77777777" w:rsidR="00F131AB" w:rsidRDefault="00F131AB">
            <w:pPr>
              <w:spacing w:after="0" w:line="256" w:lineRule="auto"/>
              <w:rPr>
                <w:rFonts w:cs="Arial"/>
                <w:color w:val="auto"/>
                <w:lang w:eastAsia="en-US"/>
              </w:rPr>
            </w:pPr>
            <w:r>
              <w:rPr>
                <w:color w:val="auto"/>
                <w:lang w:eastAsia="en-US"/>
              </w:rPr>
              <w:t>This is already undertaken as part of the Salix assessments and floors and benchmarks are being built into the revised Asset Management Plan.</w:t>
            </w:r>
          </w:p>
        </w:tc>
      </w:tr>
      <w:tr w:rsidR="00F131AB" w14:paraId="137725F2" w14:textId="77777777" w:rsidTr="00F131AB">
        <w:trPr>
          <w:trHeight w:val="1060"/>
        </w:trPr>
        <w:tc>
          <w:tcPr>
            <w:tcW w:w="6629" w:type="dxa"/>
            <w:tcBorders>
              <w:top w:val="single" w:sz="4" w:space="0" w:color="auto"/>
              <w:left w:val="single" w:sz="4" w:space="0" w:color="auto"/>
              <w:bottom w:val="single" w:sz="4" w:space="0" w:color="auto"/>
              <w:right w:val="single" w:sz="4" w:space="0" w:color="auto"/>
            </w:tcBorders>
            <w:hideMark/>
          </w:tcPr>
          <w:p w14:paraId="42D485E9" w14:textId="77777777" w:rsidR="00F131AB" w:rsidRDefault="00F131AB" w:rsidP="00F131AB">
            <w:pPr>
              <w:pStyle w:val="ListParagraph"/>
              <w:numPr>
                <w:ilvl w:val="0"/>
                <w:numId w:val="22"/>
              </w:numPr>
              <w:tabs>
                <w:tab w:val="clear" w:pos="426"/>
                <w:tab w:val="left" w:pos="720"/>
              </w:tabs>
              <w:spacing w:after="160" w:line="252" w:lineRule="auto"/>
              <w:contextualSpacing/>
              <w:rPr>
                <w:rFonts w:cs="Arial"/>
                <w:b/>
                <w:lang w:eastAsia="en-US"/>
              </w:rPr>
            </w:pPr>
            <w:r>
              <w:rPr>
                <w:rFonts w:cs="Arial"/>
                <w:b/>
                <w:lang w:eastAsia="en-US"/>
              </w:rPr>
              <w:t xml:space="preserve">That the Council </w:t>
            </w:r>
            <w:r>
              <w:rPr>
                <w:b/>
                <w:lang w:eastAsia="en-US"/>
              </w:rPr>
              <w:t>integrates its own strategy into that of the wider City recognising that though its policies, partnership working and influence the Council can impact more than 1% of the City's emissions. </w:t>
            </w:r>
          </w:p>
        </w:tc>
        <w:tc>
          <w:tcPr>
            <w:tcW w:w="1134" w:type="dxa"/>
            <w:tcBorders>
              <w:top w:val="single" w:sz="4" w:space="0" w:color="auto"/>
              <w:left w:val="single" w:sz="4" w:space="0" w:color="auto"/>
              <w:bottom w:val="single" w:sz="4" w:space="0" w:color="auto"/>
              <w:right w:val="single" w:sz="4" w:space="0" w:color="auto"/>
            </w:tcBorders>
            <w:hideMark/>
          </w:tcPr>
          <w:p w14:paraId="6E2210FC" w14:textId="77777777" w:rsidR="00F131AB" w:rsidRDefault="00F131AB">
            <w:pPr>
              <w:spacing w:after="0" w:line="256" w:lineRule="auto"/>
              <w:rPr>
                <w:rFonts w:cs="Arial"/>
                <w:lang w:eastAsia="en-US"/>
              </w:rPr>
            </w:pPr>
            <w:r>
              <w:rPr>
                <w:rFonts w:cs="Arial"/>
                <w:lang w:eastAsia="en-US"/>
              </w:rPr>
              <w:t>Not agreed</w:t>
            </w:r>
          </w:p>
        </w:tc>
        <w:tc>
          <w:tcPr>
            <w:tcW w:w="6520" w:type="dxa"/>
            <w:tcBorders>
              <w:top w:val="single" w:sz="4" w:space="0" w:color="auto"/>
              <w:left w:val="single" w:sz="4" w:space="0" w:color="auto"/>
              <w:bottom w:val="single" w:sz="4" w:space="0" w:color="auto"/>
              <w:right w:val="single" w:sz="4" w:space="0" w:color="auto"/>
            </w:tcBorders>
            <w:hideMark/>
          </w:tcPr>
          <w:p w14:paraId="2BF28F7B" w14:textId="77777777" w:rsidR="00F131AB" w:rsidRDefault="00F131AB">
            <w:pPr>
              <w:spacing w:after="0" w:line="256" w:lineRule="auto"/>
              <w:rPr>
                <w:rFonts w:cs="Arial"/>
                <w:color w:val="auto"/>
                <w:lang w:eastAsia="en-US"/>
              </w:rPr>
            </w:pPr>
            <w:r>
              <w:rPr>
                <w:color w:val="auto"/>
                <w:lang w:eastAsia="en-US"/>
              </w:rPr>
              <w:t>This is already in hand</w:t>
            </w:r>
          </w:p>
        </w:tc>
      </w:tr>
      <w:tr w:rsidR="00F131AB" w14:paraId="4C6C86D3" w14:textId="77777777" w:rsidTr="00F131AB">
        <w:trPr>
          <w:trHeight w:val="1060"/>
        </w:trPr>
        <w:tc>
          <w:tcPr>
            <w:tcW w:w="6629" w:type="dxa"/>
            <w:tcBorders>
              <w:top w:val="single" w:sz="4" w:space="0" w:color="auto"/>
              <w:left w:val="single" w:sz="4" w:space="0" w:color="auto"/>
              <w:bottom w:val="single" w:sz="4" w:space="0" w:color="auto"/>
              <w:right w:val="single" w:sz="4" w:space="0" w:color="auto"/>
            </w:tcBorders>
            <w:hideMark/>
          </w:tcPr>
          <w:p w14:paraId="5CF77A99" w14:textId="77777777" w:rsidR="00F131AB" w:rsidRDefault="00F131AB" w:rsidP="00F131AB">
            <w:pPr>
              <w:pStyle w:val="ListParagraph"/>
              <w:numPr>
                <w:ilvl w:val="0"/>
                <w:numId w:val="22"/>
              </w:numPr>
              <w:tabs>
                <w:tab w:val="clear" w:pos="426"/>
                <w:tab w:val="left" w:pos="720"/>
              </w:tabs>
              <w:spacing w:after="160" w:line="252" w:lineRule="auto"/>
              <w:contextualSpacing/>
              <w:rPr>
                <w:rFonts w:cs="Arial"/>
                <w:b/>
                <w:lang w:eastAsia="en-US"/>
              </w:rPr>
            </w:pPr>
            <w:r>
              <w:rPr>
                <w:rFonts w:cs="Arial"/>
                <w:b/>
                <w:lang w:eastAsia="en-US"/>
              </w:rPr>
              <w:lastRenderedPageBreak/>
              <w:t xml:space="preserve">That the Council </w:t>
            </w:r>
            <w:r>
              <w:rPr>
                <w:b/>
                <w:lang w:eastAsia="en-US"/>
              </w:rPr>
              <w:t>introduces environmental impact assessments into its standard Cabinet report template, with a particular focus on how the actions being proposed will help the Council move towards being zero carbon.</w:t>
            </w:r>
          </w:p>
        </w:tc>
        <w:tc>
          <w:tcPr>
            <w:tcW w:w="1134" w:type="dxa"/>
            <w:tcBorders>
              <w:top w:val="single" w:sz="4" w:space="0" w:color="auto"/>
              <w:left w:val="single" w:sz="4" w:space="0" w:color="auto"/>
              <w:bottom w:val="single" w:sz="4" w:space="0" w:color="auto"/>
              <w:right w:val="single" w:sz="4" w:space="0" w:color="auto"/>
            </w:tcBorders>
            <w:hideMark/>
          </w:tcPr>
          <w:p w14:paraId="1D271694" w14:textId="77777777" w:rsidR="00F131AB" w:rsidRDefault="00F131AB">
            <w:pPr>
              <w:spacing w:after="0" w:line="256" w:lineRule="auto"/>
              <w:rPr>
                <w:rFonts w:cs="Arial"/>
                <w:lang w:eastAsia="en-US"/>
              </w:rPr>
            </w:pPr>
            <w:r>
              <w:rPr>
                <w:rFonts w:cs="Arial"/>
                <w:lang w:eastAsia="en-US"/>
              </w:rPr>
              <w:t>Not agreed</w:t>
            </w:r>
          </w:p>
        </w:tc>
        <w:tc>
          <w:tcPr>
            <w:tcW w:w="6520" w:type="dxa"/>
            <w:tcBorders>
              <w:top w:val="single" w:sz="4" w:space="0" w:color="auto"/>
              <w:left w:val="single" w:sz="4" w:space="0" w:color="auto"/>
              <w:bottom w:val="single" w:sz="4" w:space="0" w:color="auto"/>
              <w:right w:val="single" w:sz="4" w:space="0" w:color="auto"/>
            </w:tcBorders>
            <w:hideMark/>
          </w:tcPr>
          <w:p w14:paraId="7F99DAD1" w14:textId="77777777" w:rsidR="00F131AB" w:rsidRDefault="00F131AB">
            <w:pPr>
              <w:spacing w:after="0" w:line="256" w:lineRule="auto"/>
              <w:rPr>
                <w:rFonts w:cs="Arial"/>
                <w:color w:val="auto"/>
                <w:lang w:eastAsia="en-US"/>
              </w:rPr>
            </w:pPr>
            <w:r>
              <w:rPr>
                <w:color w:val="auto"/>
                <w:lang w:eastAsia="en-US"/>
              </w:rPr>
              <w:t>This issue was debated at the previous meeting of the Cabinet.  An officer report on the means and resource implications of doing this in a meaningful way is in draft form.</w:t>
            </w:r>
          </w:p>
        </w:tc>
      </w:tr>
    </w:tbl>
    <w:p w14:paraId="7A7D3313" w14:textId="77777777" w:rsidR="00F131AB" w:rsidRDefault="00F131AB" w:rsidP="00F131AB">
      <w:pPr>
        <w:spacing w:after="0"/>
        <w:ind w:left="644" w:hanging="360"/>
        <w:rPr>
          <w:color w:val="auto"/>
        </w:rPr>
      </w:pPr>
    </w:p>
    <w:p w14:paraId="301D6BB8" w14:textId="77777777" w:rsidR="00F131AB" w:rsidRDefault="00F131AB" w:rsidP="00F131AB">
      <w:pPr>
        <w:spacing w:after="0"/>
        <w:ind w:left="644" w:hanging="360"/>
        <w:rPr>
          <w:color w:val="auto"/>
        </w:rPr>
      </w:pPr>
    </w:p>
    <w:p w14:paraId="73BA4995" w14:textId="77777777" w:rsidR="00F131AB" w:rsidRDefault="00F131AB" w:rsidP="00F131AB"/>
    <w:p w14:paraId="2A27D200" w14:textId="77777777" w:rsidR="0041195A" w:rsidRDefault="0041195A" w:rsidP="006A5C65">
      <w:pPr>
        <w:spacing w:after="0"/>
        <w:ind w:left="644" w:hanging="360"/>
        <w:rPr>
          <w:color w:val="000000" w:themeColor="text1"/>
        </w:rPr>
      </w:pPr>
    </w:p>
    <w:p w14:paraId="7D334395" w14:textId="77777777" w:rsidR="00F131AB" w:rsidRDefault="00F131AB" w:rsidP="006A5C65">
      <w:pPr>
        <w:spacing w:after="0"/>
        <w:ind w:left="644" w:hanging="360"/>
        <w:rPr>
          <w:color w:val="000000" w:themeColor="text1"/>
        </w:rPr>
      </w:pPr>
    </w:p>
    <w:p w14:paraId="32B4AF01" w14:textId="77777777" w:rsidR="00F131AB" w:rsidRDefault="00F131AB" w:rsidP="006A5C65">
      <w:pPr>
        <w:pBdr>
          <w:bottom w:val="single" w:sz="12" w:space="1" w:color="auto"/>
        </w:pBdr>
        <w:spacing w:after="0"/>
        <w:ind w:left="644" w:hanging="360"/>
        <w:rPr>
          <w:color w:val="000000" w:themeColor="text1"/>
        </w:rPr>
      </w:pPr>
      <w:bookmarkStart w:id="0" w:name="_GoBack"/>
      <w:bookmarkEnd w:id="0"/>
    </w:p>
    <w:p w14:paraId="21121842" w14:textId="77777777" w:rsidR="00F131AB" w:rsidRPr="00DE7377" w:rsidRDefault="00F131AB" w:rsidP="00F131AB">
      <w:pPr>
        <w:spacing w:after="0"/>
        <w:ind w:left="644" w:hanging="360"/>
        <w:jc w:val="center"/>
        <w:rPr>
          <w:color w:val="000000" w:themeColor="text1"/>
        </w:rPr>
      </w:pPr>
    </w:p>
    <w:sectPr w:rsidR="00F131AB" w:rsidRPr="00DE7377" w:rsidSect="00F8046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BA05" w14:textId="77777777" w:rsidR="00362572" w:rsidRDefault="00362572" w:rsidP="00A13BC5">
      <w:pPr>
        <w:spacing w:after="0"/>
      </w:pPr>
      <w:r>
        <w:separator/>
      </w:r>
    </w:p>
  </w:endnote>
  <w:endnote w:type="continuationSeparator" w:id="0">
    <w:p w14:paraId="512465AA" w14:textId="77777777" w:rsidR="00362572" w:rsidRDefault="0036257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C6D43" w14:textId="77777777" w:rsidR="00362572" w:rsidRDefault="00362572" w:rsidP="00A13BC5">
      <w:pPr>
        <w:spacing w:after="0"/>
      </w:pPr>
      <w:r>
        <w:separator/>
      </w:r>
    </w:p>
  </w:footnote>
  <w:footnote w:type="continuationSeparator" w:id="0">
    <w:p w14:paraId="7836777E" w14:textId="77777777" w:rsidR="00362572" w:rsidRDefault="00362572"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DC13D08"/>
    <w:multiLevelType w:val="hybridMultilevel"/>
    <w:tmpl w:val="B05A105A"/>
    <w:lvl w:ilvl="0" w:tplc="6A42DA3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1358E9"/>
    <w:multiLevelType w:val="hybridMultilevel"/>
    <w:tmpl w:val="57A26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92B8B"/>
    <w:multiLevelType w:val="hybridMultilevel"/>
    <w:tmpl w:val="B998705C"/>
    <w:lvl w:ilvl="0" w:tplc="08090017">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num w:numId="1">
    <w:abstractNumId w:val="0"/>
  </w:num>
  <w:num w:numId="2">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3"/>
  </w:num>
  <w:num w:numId="9">
    <w:abstractNumId w:val="18"/>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6"/>
  </w:num>
  <w:num w:numId="11">
    <w:abstractNumId w:val="10"/>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4"/>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55D0"/>
    <w:rsid w:val="000B3C06"/>
    <w:rsid w:val="000B4310"/>
    <w:rsid w:val="000C1F99"/>
    <w:rsid w:val="000E52DC"/>
    <w:rsid w:val="00125D13"/>
    <w:rsid w:val="00167D49"/>
    <w:rsid w:val="001D40DC"/>
    <w:rsid w:val="00227D92"/>
    <w:rsid w:val="002315D2"/>
    <w:rsid w:val="002607E1"/>
    <w:rsid w:val="0026551D"/>
    <w:rsid w:val="00277EC3"/>
    <w:rsid w:val="0029711B"/>
    <w:rsid w:val="00297C22"/>
    <w:rsid w:val="002A787C"/>
    <w:rsid w:val="002C2074"/>
    <w:rsid w:val="002C2C1F"/>
    <w:rsid w:val="002C7241"/>
    <w:rsid w:val="002D2CA1"/>
    <w:rsid w:val="002F2D70"/>
    <w:rsid w:val="00323714"/>
    <w:rsid w:val="00337650"/>
    <w:rsid w:val="0034775C"/>
    <w:rsid w:val="00347E29"/>
    <w:rsid w:val="00357DC5"/>
    <w:rsid w:val="00362572"/>
    <w:rsid w:val="003A5C6D"/>
    <w:rsid w:val="003A75DD"/>
    <w:rsid w:val="003B1393"/>
    <w:rsid w:val="003E3D39"/>
    <w:rsid w:val="004000D7"/>
    <w:rsid w:val="00400D3B"/>
    <w:rsid w:val="00403FD9"/>
    <w:rsid w:val="0041195A"/>
    <w:rsid w:val="00432185"/>
    <w:rsid w:val="004379E2"/>
    <w:rsid w:val="00446955"/>
    <w:rsid w:val="0045094F"/>
    <w:rsid w:val="00472C5F"/>
    <w:rsid w:val="004731A5"/>
    <w:rsid w:val="00474658"/>
    <w:rsid w:val="004826C2"/>
    <w:rsid w:val="004D58B3"/>
    <w:rsid w:val="004F15CA"/>
    <w:rsid w:val="00504E43"/>
    <w:rsid w:val="00537FB5"/>
    <w:rsid w:val="005414A9"/>
    <w:rsid w:val="00571269"/>
    <w:rsid w:val="00583DE1"/>
    <w:rsid w:val="00585DD8"/>
    <w:rsid w:val="005962F6"/>
    <w:rsid w:val="005A16D3"/>
    <w:rsid w:val="005A6A54"/>
    <w:rsid w:val="005C26AF"/>
    <w:rsid w:val="005C4780"/>
    <w:rsid w:val="005D796C"/>
    <w:rsid w:val="005D7C5F"/>
    <w:rsid w:val="005F62E7"/>
    <w:rsid w:val="00600F6C"/>
    <w:rsid w:val="00603723"/>
    <w:rsid w:val="00654A66"/>
    <w:rsid w:val="006572B4"/>
    <w:rsid w:val="00671039"/>
    <w:rsid w:val="00674BB7"/>
    <w:rsid w:val="00685DB3"/>
    <w:rsid w:val="006955B7"/>
    <w:rsid w:val="006962A9"/>
    <w:rsid w:val="006A5C65"/>
    <w:rsid w:val="006A7068"/>
    <w:rsid w:val="006C39C6"/>
    <w:rsid w:val="006C466F"/>
    <w:rsid w:val="006D7601"/>
    <w:rsid w:val="006E5380"/>
    <w:rsid w:val="00723A9E"/>
    <w:rsid w:val="00731FA3"/>
    <w:rsid w:val="00743D6F"/>
    <w:rsid w:val="00744835"/>
    <w:rsid w:val="00771A20"/>
    <w:rsid w:val="00783544"/>
    <w:rsid w:val="00786D5D"/>
    <w:rsid w:val="007908F4"/>
    <w:rsid w:val="007C47B3"/>
    <w:rsid w:val="007C5091"/>
    <w:rsid w:val="007D04DE"/>
    <w:rsid w:val="007E24A0"/>
    <w:rsid w:val="0084218B"/>
    <w:rsid w:val="0088468A"/>
    <w:rsid w:val="0088675D"/>
    <w:rsid w:val="008A22C6"/>
    <w:rsid w:val="008C05AE"/>
    <w:rsid w:val="008C1689"/>
    <w:rsid w:val="008C7363"/>
    <w:rsid w:val="008D6701"/>
    <w:rsid w:val="008F0BBE"/>
    <w:rsid w:val="008F3C33"/>
    <w:rsid w:val="008F40B9"/>
    <w:rsid w:val="00913F4A"/>
    <w:rsid w:val="00920A97"/>
    <w:rsid w:val="009267DF"/>
    <w:rsid w:val="00943A09"/>
    <w:rsid w:val="0095203B"/>
    <w:rsid w:val="00973FB3"/>
    <w:rsid w:val="009767FB"/>
    <w:rsid w:val="00976BC8"/>
    <w:rsid w:val="0099333A"/>
    <w:rsid w:val="00996A02"/>
    <w:rsid w:val="009A15CD"/>
    <w:rsid w:val="009B3D00"/>
    <w:rsid w:val="009B6D06"/>
    <w:rsid w:val="009E5C82"/>
    <w:rsid w:val="009F3FC4"/>
    <w:rsid w:val="00A067E2"/>
    <w:rsid w:val="00A13BC5"/>
    <w:rsid w:val="00A2441F"/>
    <w:rsid w:val="00A66707"/>
    <w:rsid w:val="00A803E0"/>
    <w:rsid w:val="00A83C39"/>
    <w:rsid w:val="00A86C28"/>
    <w:rsid w:val="00A907A7"/>
    <w:rsid w:val="00AA6C7B"/>
    <w:rsid w:val="00AB6DFD"/>
    <w:rsid w:val="00AC5E37"/>
    <w:rsid w:val="00B06D07"/>
    <w:rsid w:val="00B13A97"/>
    <w:rsid w:val="00B35702"/>
    <w:rsid w:val="00B4276B"/>
    <w:rsid w:val="00B433D0"/>
    <w:rsid w:val="00B44C3F"/>
    <w:rsid w:val="00B61494"/>
    <w:rsid w:val="00BC7998"/>
    <w:rsid w:val="00BD1BEA"/>
    <w:rsid w:val="00BF1156"/>
    <w:rsid w:val="00C00326"/>
    <w:rsid w:val="00C07F80"/>
    <w:rsid w:val="00C31A7B"/>
    <w:rsid w:val="00C36F92"/>
    <w:rsid w:val="00C618F7"/>
    <w:rsid w:val="00CA113C"/>
    <w:rsid w:val="00CC5450"/>
    <w:rsid w:val="00D25CDB"/>
    <w:rsid w:val="00D35FE1"/>
    <w:rsid w:val="00D41861"/>
    <w:rsid w:val="00D46033"/>
    <w:rsid w:val="00D46557"/>
    <w:rsid w:val="00D64086"/>
    <w:rsid w:val="00D74FE7"/>
    <w:rsid w:val="00DA57B7"/>
    <w:rsid w:val="00DC499B"/>
    <w:rsid w:val="00DC5419"/>
    <w:rsid w:val="00DE7377"/>
    <w:rsid w:val="00DF2845"/>
    <w:rsid w:val="00DF293F"/>
    <w:rsid w:val="00E1395D"/>
    <w:rsid w:val="00E225A4"/>
    <w:rsid w:val="00E71074"/>
    <w:rsid w:val="00E752D7"/>
    <w:rsid w:val="00E83BAA"/>
    <w:rsid w:val="00E84710"/>
    <w:rsid w:val="00EA0754"/>
    <w:rsid w:val="00EA41F7"/>
    <w:rsid w:val="00EB12FA"/>
    <w:rsid w:val="00EB164F"/>
    <w:rsid w:val="00ED4C0B"/>
    <w:rsid w:val="00F03B41"/>
    <w:rsid w:val="00F03F91"/>
    <w:rsid w:val="00F131AB"/>
    <w:rsid w:val="00F23B47"/>
    <w:rsid w:val="00F447A1"/>
    <w:rsid w:val="00F47B3F"/>
    <w:rsid w:val="00F6079C"/>
    <w:rsid w:val="00F70E10"/>
    <w:rsid w:val="00F76BEA"/>
    <w:rsid w:val="00F80464"/>
    <w:rsid w:val="00F90F1A"/>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 w:id="21361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C3B7-3526-4691-872E-0BE6D1B7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CB06ADD8</Template>
  <TotalTime>0</TotalTime>
  <Pages>8</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MITCHELL John</cp:lastModifiedBy>
  <cp:revision>2</cp:revision>
  <dcterms:created xsi:type="dcterms:W3CDTF">2021-05-27T10:20:00Z</dcterms:created>
  <dcterms:modified xsi:type="dcterms:W3CDTF">2021-05-27T10:20:00Z</dcterms:modified>
</cp:coreProperties>
</file>